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40" w:type="dxa"/>
          <w:left w:w="180" w:type="dxa"/>
          <w:bottom w:w="140" w:type="dxa"/>
          <w:right w:w="180" w:type="dxa"/>
        </w:tblCellMar>
        <w:tblLayout w:type="fixed"/>
      </w:tblPr>
      <w:tblGrid>
        <w:gridCol w:w="7056"/>
        <w:gridCol w:w="3024"/>
      </w:tblGrid>
      <w:tr>
        <w:tc>
          <w:tcPr>
            <w:tcW w:type="dxa" w:w="7056"/>
            <w:shd w:val="clear" w:color="auto" w:fill="234B45"/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D8C3A5"/>
                <w:sz w:val="18"/>
              </w:rPr>
              <w:t>Brightwater Plumbing Co. (illustrative)</w:t>
            </w:r>
          </w:p>
          <w:p>
            <w:r>
              <w:rPr>
                <w:rFonts w:ascii="Constantia" w:hAnsi="Constantia" w:cs="Constantia" w:eastAsia="Constantia"/>
                <w:b/>
                <w:i w:val="0"/>
                <w:color w:val="FFFFFF"/>
                <w:sz w:val="48"/>
              </w:rPr>
              <w:t>Trial Balance</w:t>
            </w:r>
          </w:p>
          <w:p>
            <w:r>
              <w:rPr>
                <w:rFonts w:ascii="Corbel" w:hAnsi="Corbel" w:cs="Corbel" w:eastAsia="Corbel"/>
                <w:b w:val="0"/>
                <w:i w:val="0"/>
                <w:color w:val="DCE5E2"/>
                <w:sz w:val="19"/>
              </w:rPr>
              <w:t>Adjusted · as at 30 September 2026 · USD</w:t>
            </w:r>
          </w:p>
        </w:tc>
        <w:tc>
          <w:tcPr>
            <w:tcW w:type="dxa" w:w="3024"/>
            <w:shd w:val="clear" w:color="auto" w:fill="D8C3A5"/>
            <w:vAlign w:val="center"/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/>
                <w:i w:val="0"/>
                <w:color w:val="163330"/>
                <w:sz w:val="15"/>
              </w:rPr>
              <w:t>STATUS</w:t>
            </w:r>
          </w:p>
          <w:p>
            <w:pPr>
              <w:jc w:val="right"/>
            </w:pPr>
            <w:r>
              <w:rPr>
                <w:rFonts w:ascii="Constantia" w:hAnsi="Constantia" w:cs="Constantia" w:eastAsia="Constantia"/>
                <w:b/>
                <w:i w:val="0"/>
                <w:color w:val="163330"/>
                <w:sz w:val="30"/>
              </w:rPr>
              <w:t>Balanced</w:t>
            </w:r>
          </w:p>
          <w:p>
            <w:pPr>
              <w:jc w:val="right"/>
            </w:pPr>
            <w:r>
              <w:rPr>
                <w:rFonts w:ascii="Corbel" w:hAnsi="Corbel" w:cs="Corbel" w:eastAsia="Corbel"/>
                <w:b w:val="0"/>
                <w:i w:val="0"/>
                <w:color w:val="163330"/>
                <w:sz w:val="18"/>
              </w:rPr>
              <w:t>Difference 0.00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" w:type="dxa"/>
          <w:left w:w="90" w:type="dxa"/>
          <w:bottom w:w="8" w:type="dxa"/>
          <w:right w:w="90" w:type="dxa"/>
        </w:tblCellMar>
        <w:tblLayout w:type="fixed"/>
      </w:tblPr>
      <w:tblGrid>
        <w:gridCol w:w="1152"/>
        <w:gridCol w:w="5472"/>
        <w:gridCol w:w="1728"/>
        <w:gridCol w:w="1728"/>
      </w:tblGrid>
      <w:tr>
        <w:tc>
          <w:tcPr>
            <w:tcW w:type="dxa" w:w="1152"/>
            <w:vAlign w:val="center"/>
            <w:tcBorders>
              <w:bottom w:val="single" w:sz="12" w:color="234B45" w:space="0"/>
            </w:tcBorders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163330"/>
                <w:sz w:val="17"/>
              </w:rPr>
              <w:t>Code</w:t>
            </w:r>
          </w:p>
        </w:tc>
        <w:tc>
          <w:tcPr>
            <w:tcW w:type="dxa" w:w="5472"/>
            <w:vAlign w:val="center"/>
            <w:tcBorders>
              <w:bottom w:val="single" w:sz="12" w:color="234B45" w:space="0"/>
            </w:tcBorders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163330"/>
                <w:sz w:val="17"/>
              </w:rPr>
              <w:t>Account</w:t>
            </w:r>
          </w:p>
        </w:tc>
        <w:tc>
          <w:tcPr>
            <w:tcW w:type="dxa" w:w="1728"/>
            <w:vAlign w:val="center"/>
            <w:tcBorders>
              <w:bottom w:val="single" w:sz="12" w:color="234B45" w:space="0"/>
            </w:tcBorders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/>
                <w:i w:val="0"/>
                <w:color w:val="163330"/>
                <w:sz w:val="17"/>
              </w:rPr>
              <w:t>Debit</w:t>
            </w:r>
          </w:p>
        </w:tc>
        <w:tc>
          <w:tcPr>
            <w:tcW w:type="dxa" w:w="1728"/>
            <w:vAlign w:val="center"/>
            <w:tcBorders>
              <w:bottom w:val="single" w:sz="12" w:color="234B45" w:space="0"/>
            </w:tcBorders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/>
                <w:i w:val="0"/>
                <w:color w:val="163330"/>
                <w:sz w:val="17"/>
              </w:rPr>
              <w:t>Credit</w:t>
            </w:r>
          </w:p>
        </w:tc>
      </w:tr>
      <w:tr>
        <w:tc>
          <w:tcPr>
            <w:tcW w:type="dxa" w:w="1152"/>
            <w:vAlign w:val="center"/>
            <w:tcBorders>
              <w:bottom w:val="single" w:sz="2" w:color="CFC6B4" w:space="0"/>
            </w:tcBorders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234B45"/>
                <w:sz w:val="19"/>
              </w:rPr>
              <w:t>1000</w:t>
            </w:r>
          </w:p>
        </w:tc>
        <w:tc>
          <w:tcPr>
            <w:tcW w:type="dxa" w:w="5472"/>
            <w:vAlign w:val="center"/>
            <w:tcBorders>
              <w:bottom w:val="single" w:sz="2" w:color="CFC6B4" w:space="0"/>
            </w:tcBorders>
          </w:tcPr>
          <w:p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Cash at bank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24,310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</w:r>
          </w:p>
        </w:tc>
      </w:tr>
      <w:tr>
        <w:tc>
          <w:tcPr>
            <w:tcW w:type="dxa" w:w="1152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234B45"/>
                <w:sz w:val="19"/>
              </w:rPr>
              <w:t>1100</w:t>
            </w:r>
          </w:p>
        </w:tc>
        <w:tc>
          <w:tcPr>
            <w:tcW w:type="dxa" w:w="5472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Accounts receivable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18,760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</w:r>
          </w:p>
        </w:tc>
      </w:tr>
      <w:tr>
        <w:tc>
          <w:tcPr>
            <w:tcW w:type="dxa" w:w="1152"/>
            <w:vAlign w:val="center"/>
            <w:tcBorders>
              <w:bottom w:val="single" w:sz="2" w:color="CFC6B4" w:space="0"/>
            </w:tcBorders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234B45"/>
                <w:sz w:val="19"/>
              </w:rPr>
              <w:t>1200</w:t>
            </w:r>
          </w:p>
        </w:tc>
        <w:tc>
          <w:tcPr>
            <w:tcW w:type="dxa" w:w="5472"/>
            <w:vAlign w:val="center"/>
            <w:tcBorders>
              <w:bottom w:val="single" w:sz="2" w:color="CFC6B4" w:space="0"/>
            </w:tcBorders>
          </w:tcPr>
          <w:p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Inventory – parts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9,420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</w:r>
          </w:p>
        </w:tc>
      </w:tr>
      <w:tr>
        <w:tc>
          <w:tcPr>
            <w:tcW w:type="dxa" w:w="1152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234B45"/>
                <w:sz w:val="19"/>
              </w:rPr>
              <w:t>1300</w:t>
            </w:r>
          </w:p>
        </w:tc>
        <w:tc>
          <w:tcPr>
            <w:tcW w:type="dxa" w:w="5472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Prepaid insurance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3,000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</w:r>
          </w:p>
        </w:tc>
      </w:tr>
      <w:tr>
        <w:tc>
          <w:tcPr>
            <w:tcW w:type="dxa" w:w="1152"/>
            <w:vAlign w:val="center"/>
            <w:tcBorders>
              <w:bottom w:val="single" w:sz="2" w:color="CFC6B4" w:space="0"/>
            </w:tcBorders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234B45"/>
                <w:sz w:val="19"/>
              </w:rPr>
              <w:t>1500</w:t>
            </w:r>
          </w:p>
        </w:tc>
        <w:tc>
          <w:tcPr>
            <w:tcW w:type="dxa" w:w="5472"/>
            <w:vAlign w:val="center"/>
            <w:tcBorders>
              <w:bottom w:val="single" w:sz="2" w:color="CFC6B4" w:space="0"/>
            </w:tcBorders>
          </w:tcPr>
          <w:p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Vans and equipment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68,000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</w:r>
          </w:p>
        </w:tc>
      </w:tr>
      <w:tr>
        <w:tc>
          <w:tcPr>
            <w:tcW w:type="dxa" w:w="1152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234B45"/>
                <w:sz w:val="19"/>
              </w:rPr>
              <w:t>1510</w:t>
            </w:r>
          </w:p>
        </w:tc>
        <w:tc>
          <w:tcPr>
            <w:tcW w:type="dxa" w:w="5472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Accumulated depreciation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22,100</w:t>
            </w:r>
          </w:p>
        </w:tc>
      </w:tr>
      <w:tr>
        <w:tc>
          <w:tcPr>
            <w:tcW w:type="dxa" w:w="1152"/>
            <w:vAlign w:val="center"/>
            <w:tcBorders>
              <w:bottom w:val="single" w:sz="2" w:color="CFC6B4" w:space="0"/>
            </w:tcBorders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234B45"/>
                <w:sz w:val="19"/>
              </w:rPr>
              <w:t>2000</w:t>
            </w:r>
          </w:p>
        </w:tc>
        <w:tc>
          <w:tcPr>
            <w:tcW w:type="dxa" w:w="5472"/>
            <w:vAlign w:val="center"/>
            <w:tcBorders>
              <w:bottom w:val="single" w:sz="2" w:color="CFC6B4" w:space="0"/>
            </w:tcBorders>
          </w:tcPr>
          <w:p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Accounts payable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7,935</w:t>
            </w:r>
          </w:p>
        </w:tc>
      </w:tr>
      <w:tr>
        <w:tc>
          <w:tcPr>
            <w:tcW w:type="dxa" w:w="1152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234B45"/>
                <w:sz w:val="19"/>
              </w:rPr>
              <w:t>2100</w:t>
            </w:r>
          </w:p>
        </w:tc>
        <w:tc>
          <w:tcPr>
            <w:tcW w:type="dxa" w:w="5472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Accrued wages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2,340</w:t>
            </w:r>
          </w:p>
        </w:tc>
      </w:tr>
      <w:tr>
        <w:tc>
          <w:tcPr>
            <w:tcW w:type="dxa" w:w="1152"/>
            <w:vAlign w:val="center"/>
            <w:tcBorders>
              <w:bottom w:val="single" w:sz="2" w:color="CFC6B4" w:space="0"/>
            </w:tcBorders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234B45"/>
                <w:sz w:val="19"/>
              </w:rPr>
              <w:t>2200</w:t>
            </w:r>
          </w:p>
        </w:tc>
        <w:tc>
          <w:tcPr>
            <w:tcW w:type="dxa" w:w="5472"/>
            <w:vAlign w:val="center"/>
            <w:tcBorders>
              <w:bottom w:val="single" w:sz="2" w:color="CFC6B4" w:space="0"/>
            </w:tcBorders>
          </w:tcPr>
          <w:p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Sales tax payable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1,862</w:t>
            </w:r>
          </w:p>
        </w:tc>
      </w:tr>
      <w:tr>
        <w:tc>
          <w:tcPr>
            <w:tcW w:type="dxa" w:w="1152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234B45"/>
                <w:sz w:val="19"/>
              </w:rPr>
              <w:t>2500</w:t>
            </w:r>
          </w:p>
        </w:tc>
        <w:tc>
          <w:tcPr>
            <w:tcW w:type="dxa" w:w="5472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Van loan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26,400</w:t>
            </w:r>
          </w:p>
        </w:tc>
      </w:tr>
      <w:tr>
        <w:tc>
          <w:tcPr>
            <w:tcW w:type="dxa" w:w="1152"/>
            <w:vAlign w:val="center"/>
            <w:tcBorders>
              <w:bottom w:val="single" w:sz="2" w:color="CFC6B4" w:space="0"/>
            </w:tcBorders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234B45"/>
                <w:sz w:val="19"/>
              </w:rPr>
              <w:t>3000</w:t>
            </w:r>
          </w:p>
        </w:tc>
        <w:tc>
          <w:tcPr>
            <w:tcW w:type="dxa" w:w="5472"/>
            <w:vAlign w:val="center"/>
            <w:tcBorders>
              <w:bottom w:val="single" w:sz="2" w:color="CFC6B4" w:space="0"/>
            </w:tcBorders>
          </w:tcPr>
          <w:p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Owner's capital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31,000</w:t>
            </w:r>
          </w:p>
        </w:tc>
      </w:tr>
      <w:tr>
        <w:tc>
          <w:tcPr>
            <w:tcW w:type="dxa" w:w="1152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234B45"/>
                <w:sz w:val="19"/>
              </w:rPr>
              <w:t>3100</w:t>
            </w:r>
          </w:p>
        </w:tc>
        <w:tc>
          <w:tcPr>
            <w:tcW w:type="dxa" w:w="5472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Owner's drawings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6,000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</w:r>
          </w:p>
        </w:tc>
      </w:tr>
      <w:tr>
        <w:tc>
          <w:tcPr>
            <w:tcW w:type="dxa" w:w="1152"/>
            <w:vAlign w:val="center"/>
            <w:tcBorders>
              <w:bottom w:val="single" w:sz="2" w:color="CFC6B4" w:space="0"/>
            </w:tcBorders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234B45"/>
                <w:sz w:val="19"/>
              </w:rPr>
              <w:t>4000</w:t>
            </w:r>
          </w:p>
        </w:tc>
        <w:tc>
          <w:tcPr>
            <w:tcW w:type="dxa" w:w="5472"/>
            <w:vAlign w:val="center"/>
            <w:tcBorders>
              <w:bottom w:val="single" w:sz="2" w:color="CFC6B4" w:space="0"/>
            </w:tcBorders>
          </w:tcPr>
          <w:p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Service revenue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96,480</w:t>
            </w:r>
          </w:p>
        </w:tc>
      </w:tr>
      <w:tr>
        <w:tc>
          <w:tcPr>
            <w:tcW w:type="dxa" w:w="1152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234B45"/>
                <w:sz w:val="19"/>
              </w:rPr>
              <w:t>4100</w:t>
            </w:r>
          </w:p>
        </w:tc>
        <w:tc>
          <w:tcPr>
            <w:tcW w:type="dxa" w:w="5472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Parts sales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22,150</w:t>
            </w:r>
          </w:p>
        </w:tc>
      </w:tr>
      <w:tr>
        <w:tc>
          <w:tcPr>
            <w:tcW w:type="dxa" w:w="1152"/>
            <w:vAlign w:val="center"/>
            <w:tcBorders>
              <w:bottom w:val="single" w:sz="2" w:color="CFC6B4" w:space="0"/>
            </w:tcBorders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234B45"/>
                <w:sz w:val="19"/>
              </w:rPr>
              <w:t>5000</w:t>
            </w:r>
          </w:p>
        </w:tc>
        <w:tc>
          <w:tcPr>
            <w:tcW w:type="dxa" w:w="5472"/>
            <w:vAlign w:val="center"/>
            <w:tcBorders>
              <w:bottom w:val="single" w:sz="2" w:color="CFC6B4" w:space="0"/>
            </w:tcBorders>
          </w:tcPr>
          <w:p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Cost of parts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13,290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</w:r>
          </w:p>
        </w:tc>
      </w:tr>
      <w:tr>
        <w:tc>
          <w:tcPr>
            <w:tcW w:type="dxa" w:w="1152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234B45"/>
                <w:sz w:val="19"/>
              </w:rPr>
              <w:t>5100</w:t>
            </w:r>
          </w:p>
        </w:tc>
        <w:tc>
          <w:tcPr>
            <w:tcW w:type="dxa" w:w="5472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Wages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43,940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</w:r>
          </w:p>
        </w:tc>
      </w:tr>
      <w:tr>
        <w:tc>
          <w:tcPr>
            <w:tcW w:type="dxa" w:w="1152"/>
            <w:vAlign w:val="center"/>
            <w:tcBorders>
              <w:bottom w:val="single" w:sz="2" w:color="CFC6B4" w:space="0"/>
            </w:tcBorders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234B45"/>
                <w:sz w:val="19"/>
              </w:rPr>
              <w:t>5200</w:t>
            </w:r>
          </w:p>
        </w:tc>
        <w:tc>
          <w:tcPr>
            <w:tcW w:type="dxa" w:w="5472"/>
            <w:vAlign w:val="center"/>
            <w:tcBorders>
              <w:bottom w:val="single" w:sz="2" w:color="CFC6B4" w:space="0"/>
            </w:tcBorders>
          </w:tcPr>
          <w:p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Fuel and vehicle costs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6,840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</w:r>
          </w:p>
        </w:tc>
      </w:tr>
      <w:tr>
        <w:tc>
          <w:tcPr>
            <w:tcW w:type="dxa" w:w="1152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234B45"/>
                <w:sz w:val="19"/>
              </w:rPr>
              <w:t>5300</w:t>
            </w:r>
          </w:p>
        </w:tc>
        <w:tc>
          <w:tcPr>
            <w:tcW w:type="dxa" w:w="5472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Insurance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2,400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</w:r>
          </w:p>
        </w:tc>
      </w:tr>
      <w:tr>
        <w:tc>
          <w:tcPr>
            <w:tcW w:type="dxa" w:w="1152"/>
            <w:vAlign w:val="center"/>
            <w:tcBorders>
              <w:bottom w:val="single" w:sz="2" w:color="CFC6B4" w:space="0"/>
            </w:tcBorders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234B45"/>
                <w:sz w:val="19"/>
              </w:rPr>
              <w:t>5400</w:t>
            </w:r>
          </w:p>
        </w:tc>
        <w:tc>
          <w:tcPr>
            <w:tcW w:type="dxa" w:w="5472"/>
            <w:vAlign w:val="center"/>
            <w:tcBorders>
              <w:bottom w:val="single" w:sz="2" w:color="CFC6B4" w:space="0"/>
            </w:tcBorders>
          </w:tcPr>
          <w:p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Office and phone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4,590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</w:r>
          </w:p>
        </w:tc>
      </w:tr>
      <w:tr>
        <w:tc>
          <w:tcPr>
            <w:tcW w:type="dxa" w:w="1152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234B45"/>
                <w:sz w:val="19"/>
              </w:rPr>
              <w:t>5500</w:t>
            </w:r>
          </w:p>
        </w:tc>
        <w:tc>
          <w:tcPr>
            <w:tcW w:type="dxa" w:w="5472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Depreciation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8,500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  <w:shd w:val="clear" w:color="auto" w:fill="FAF6EF"/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</w:r>
          </w:p>
        </w:tc>
      </w:tr>
      <w:tr>
        <w:tc>
          <w:tcPr>
            <w:tcW w:type="dxa" w:w="1152"/>
            <w:vAlign w:val="center"/>
            <w:tcBorders>
              <w:bottom w:val="single" w:sz="2" w:color="CFC6B4" w:space="0"/>
            </w:tcBorders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234B45"/>
                <w:sz w:val="19"/>
              </w:rPr>
              <w:t>5600</w:t>
            </w:r>
          </w:p>
        </w:tc>
        <w:tc>
          <w:tcPr>
            <w:tcW w:type="dxa" w:w="5472"/>
            <w:vAlign w:val="center"/>
            <w:tcBorders>
              <w:bottom w:val="single" w:sz="2" w:color="CFC6B4" w:space="0"/>
            </w:tcBorders>
          </w:tcPr>
          <w:p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Interest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  <w:t>1,217</w:t>
            </w:r>
          </w:p>
        </w:tc>
        <w:tc>
          <w:tcPr>
            <w:tcW w:type="dxa" w:w="1728"/>
            <w:vAlign w:val="center"/>
            <w:tcBorders>
              <w:bottom w:val="single" w:sz="2" w:color="CFC6B4" w:space="0"/>
            </w:tcBorders>
          </w:tcPr>
          <w:p>
            <w:pPr>
              <w:jc w:val="right"/>
            </w:pPr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9"/>
              </w:rPr>
            </w:r>
          </w:p>
        </w:tc>
      </w:tr>
      <w:tr>
        <w:tc>
          <w:tcPr>
            <w:tcW w:type="dxa" w:w="1152"/>
            <w:tcBorders>
              <w:top w:val="single" w:sz="8" w:color="234B45" w:space="0"/>
              <w:bottom w:val="double" w:sz="6" w:color="234B45" w:space="0"/>
            </w:tcBorders>
          </w:tcPr>
          <w:p/>
        </w:tc>
        <w:tc>
          <w:tcPr>
            <w:tcW w:type="dxa" w:w="5472"/>
            <w:vAlign w:val="center"/>
            <w:tcBorders>
              <w:top w:val="single" w:sz="8" w:color="234B45" w:space="0"/>
              <w:bottom w:val="double" w:sz="6" w:color="234B45" w:space="0"/>
            </w:tcBorders>
          </w:tcPr>
          <w:p>
            <w:r/>
            <w:r>
              <w:rPr>
                <w:rFonts w:ascii="Constantia" w:hAnsi="Constantia" w:cs="Constantia" w:eastAsia="Constantia"/>
                <w:b/>
                <w:i w:val="0"/>
                <w:color w:val="163330"/>
                <w:sz w:val="21"/>
              </w:rPr>
              <w:t>Totals</w:t>
            </w:r>
          </w:p>
        </w:tc>
        <w:tc>
          <w:tcPr>
            <w:tcW w:type="dxa" w:w="1728"/>
            <w:vAlign w:val="center"/>
            <w:tcBorders>
              <w:top w:val="single" w:sz="8" w:color="234B45" w:space="0"/>
              <w:bottom w:val="double" w:sz="6" w:color="234B45" w:space="0"/>
            </w:tcBorders>
          </w:tcPr>
          <w:p>
            <w:pPr>
              <w:jc w:val="right"/>
            </w:pPr>
            <w:r/>
            <w:r>
              <w:rPr>
                <w:rFonts w:ascii="Constantia" w:hAnsi="Constantia" w:cs="Constantia" w:eastAsia="Constantia"/>
                <w:b/>
                <w:i w:val="0"/>
                <w:color w:val="163330"/>
                <w:sz w:val="21"/>
              </w:rPr>
              <w:t>210,267</w:t>
            </w:r>
          </w:p>
        </w:tc>
        <w:tc>
          <w:tcPr>
            <w:tcW w:type="dxa" w:w="1728"/>
            <w:vAlign w:val="center"/>
            <w:tcBorders>
              <w:top w:val="single" w:sz="8" w:color="234B45" w:space="0"/>
              <w:bottom w:val="double" w:sz="6" w:color="234B45" w:space="0"/>
            </w:tcBorders>
          </w:tcPr>
          <w:p>
            <w:pPr>
              <w:jc w:val="right"/>
            </w:pPr>
            <w:r/>
            <w:r>
              <w:rPr>
                <w:rFonts w:ascii="Constantia" w:hAnsi="Constantia" w:cs="Constantia" w:eastAsia="Constantia"/>
                <w:b/>
                <w:i w:val="0"/>
                <w:color w:val="163330"/>
                <w:sz w:val="21"/>
              </w:rPr>
              <w:t>210,267</w:t>
            </w:r>
          </w:p>
        </w:tc>
      </w:tr>
    </w:tbl>
    <w:p>
      <w:pPr>
        <w:spacing w:before="200"/>
        <w:pBdr>
          <w:bottom w:val="single" w:sz="6" w:space="2" w:color="D8C3A5"/>
        </w:pBdr>
      </w:pPr>
      <w:r>
        <w:rPr>
          <w:rFonts w:ascii="Constantia" w:hAnsi="Constantia" w:cs="Constantia" w:eastAsia="Constantia"/>
          <w:b/>
          <w:i w:val="0"/>
          <w:color w:val="163330"/>
          <w:sz w:val="22"/>
        </w:rPr>
        <w:t>Adjusting entries included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90" w:type="dxa"/>
          <w:bottom w:w="30" w:type="dxa"/>
          <w:right w:w="90" w:type="dxa"/>
        </w:tblCellMar>
        <w:tblLayout w:type="fixed"/>
      </w:tblPr>
      <w:tblGrid>
        <w:gridCol w:w="1152"/>
        <w:gridCol w:w="8928"/>
      </w:tblGrid>
      <w:tr>
        <w:tc>
          <w:tcPr>
            <w:tcW w:type="dxa" w:w="1152"/>
            <w:vAlign w:val="center"/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234B45"/>
                <w:sz w:val="18"/>
              </w:rPr>
              <w:t>AJE-1</w:t>
            </w:r>
          </w:p>
        </w:tc>
        <w:tc>
          <w:tcPr>
            <w:tcW w:type="dxa" w:w="8928"/>
            <w:vAlign w:val="center"/>
          </w:tcPr>
          <w:p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8"/>
              </w:rPr>
              <w:t>Depreciation for September: Dr Depreciation 850 / Cr Accumulated depreciation 850</w:t>
            </w:r>
          </w:p>
        </w:tc>
      </w:tr>
      <w:tr>
        <w:tc>
          <w:tcPr>
            <w:tcW w:type="dxa" w:w="1152"/>
            <w:vAlign w:val="center"/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234B45"/>
                <w:sz w:val="18"/>
              </w:rPr>
              <w:t>AJE-2</w:t>
            </w:r>
          </w:p>
        </w:tc>
        <w:tc>
          <w:tcPr>
            <w:tcW w:type="dxa" w:w="8928"/>
            <w:vAlign w:val="center"/>
          </w:tcPr>
          <w:p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8"/>
              </w:rPr>
              <w:t>Wages earned 26–30 Sep, paid 3 Oct: Dr Wages 2,340 / Cr Accrued wages 2,340</w:t>
            </w:r>
          </w:p>
        </w:tc>
      </w:tr>
      <w:tr>
        <w:tc>
          <w:tcPr>
            <w:tcW w:type="dxa" w:w="1152"/>
            <w:vAlign w:val="center"/>
          </w:tcPr>
          <w:p>
            <w:r/>
            <w:r>
              <w:rPr>
                <w:rFonts w:ascii="Corbel" w:hAnsi="Corbel" w:cs="Corbel" w:eastAsia="Corbel"/>
                <w:b/>
                <w:i w:val="0"/>
                <w:color w:val="234B45"/>
                <w:sz w:val="18"/>
              </w:rPr>
              <w:t>AJE-3</w:t>
            </w:r>
          </w:p>
        </w:tc>
        <w:tc>
          <w:tcPr>
            <w:tcW w:type="dxa" w:w="8928"/>
            <w:vAlign w:val="center"/>
          </w:tcPr>
          <w:p>
            <w:r/>
            <w:r>
              <w:rPr>
                <w:rFonts w:ascii="Corbel" w:hAnsi="Corbel" w:cs="Corbel" w:eastAsia="Corbel"/>
                <w:b w:val="0"/>
                <w:i w:val="0"/>
                <w:color w:val="1F2A28"/>
                <w:sz w:val="18"/>
              </w:rPr>
              <w:t>Insurance used in September: Dr Insurance 600 / Cr Prepaid insurance 600</w:t>
            </w:r>
          </w:p>
        </w:tc>
      </w:tr>
    </w:tbl>
    <w:p>
      <w:pPr>
        <w:spacing w:before="160"/>
      </w:pPr>
      <w:r>
        <w:rPr>
          <w:rFonts w:ascii="Corbel" w:hAnsi="Corbel" w:cs="Corbel" w:eastAsia="Corbel"/>
          <w:b w:val="0"/>
          <w:i/>
          <w:color w:val="6B7774"/>
          <w:sz w:val="17"/>
        </w:rPr>
        <w:t xml:space="preserve">Unadjusted totals were 207,077 each side; adjustments add 3,790. Net income after adjustments (Jan–Sep): 37,853. </w:t>
      </w:r>
      <w:r>
        <w:rPr>
          <w:rFonts w:ascii="Corbel" w:hAnsi="Corbel" w:cs="Corbel" w:eastAsia="Corbel"/>
          <w:b w:val="0"/>
          <w:i/>
          <w:color w:val="6B7774"/>
          <w:sz w:val="17"/>
        </w:rPr>
        <w:t>Company and figures are illustrative.</w:t>
      </w:r>
    </w:p>
    <w:p>
      <w:pPr>
        <w:spacing w:before="280"/>
      </w:pPr>
      <w:r>
        <w:rPr>
          <w:rFonts w:ascii="Corbel" w:hAnsi="Corbel" w:cs="Corbel" w:eastAsia="Corbel"/>
          <w:b w:val="0"/>
          <w:i w:val="0"/>
          <w:color w:val="6B7774"/>
          <w:sz w:val="18"/>
        </w:rPr>
        <w:t>Prepared by ______________________   Date ________      Reviewed by ______________________   Date ________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orbel" w:hAnsi="Corbel" w:cs="Corbel" w:eastAsia="Corbel"/>
      <w:color w:val="1F2A2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Trial Balance Report</dc:title>
  <dc:subject/>
  <dc:creator>reportsexcel.com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