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cs="Calibri" w:eastAsia="Calibri"/>
          <w:b/>
          <w:i w:val="0"/>
          <w:color w:val="3FBFA0"/>
          <w:sz w:val="18"/>
        </w:rPr>
        <w:t>TRAINING REPORT  ·  Q3 2026</w:t>
      </w:r>
    </w:p>
    <w:p>
      <w:pPr>
        <w:spacing w:after="40" w:before="40"/>
        <w:pBdr>
          <w:left w:val="single" w:sz="36" w:space="10" w:color="5B3E96"/>
        </w:pBdr>
      </w:pPr>
      <w:r>
        <w:rPr>
          <w:rFonts w:ascii="Calibri" w:hAnsi="Calibri" w:cs="Calibri" w:eastAsia="Calibri"/>
          <w:b/>
          <w:i w:val="0"/>
          <w:color w:val="5B3E96"/>
          <w:sz w:val="52"/>
        </w:rPr>
        <w:t>First-Time Fix Workshop</w:t>
      </w:r>
    </w:p>
    <w:p>
      <w:pPr>
        <w:spacing w:after="160" w:before="80"/>
      </w:pPr>
      <w:r>
        <w:rPr>
          <w:rFonts w:ascii="Calibri" w:hAnsi="Calibri" w:cs="Calibri" w:eastAsia="Calibri"/>
          <w:b w:val="0"/>
          <w:i w:val="0"/>
          <w:color w:val="756E85"/>
          <w:sz w:val="18"/>
        </w:rPr>
        <w:t>Ridgeway Home Services  ·  24 field technicians invited, 22 trained  ·  4 sessions, 14 Jul – 18 Aug 2026  ·  Prepared by Hannah Price, Operations Manager, 2 Oct 2026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</w:tblPr>
      <w:tblGrid>
        <w:gridCol w:w="9648"/>
      </w:tblGrid>
      <w:tr>
        <w:tc>
          <w:tcPr>
            <w:tcW w:type="dxa" w:w="9648"/>
            <w:shd w:val="clear" w:color="auto" w:fill="E2F6F0"/>
            <w:tcBorders>
              <w:left w:val="single" w:sz="24" w:color="3FBFA0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1E8A6E"/>
                <w:sz w:val="22"/>
              </w:rPr>
              <w:t>The short version</w:t>
            </w:r>
          </w:p>
          <w:p>
            <w:pPr>
              <w:spacing w:before="60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First-time fix rate rose from 71% to 79%, and callbacks fell from 9.4 to 6.8 per 100 jobs, with no increase in time on site. 17 of the 22 technicians trained were seen using the new pre-visit checklist a month later. At about $4,950 a month in avoided callbacks, the $11,402 program pays for itself in under three months.</w:t>
            </w:r>
          </w:p>
        </w:tc>
      </w:tr>
    </w:tbl>
    <w:p>
      <w:pPr>
        <w:spacing w:after="80" w:before="280"/>
      </w:pPr>
      <w:r>
        <w:rPr>
          <w:rFonts w:ascii="Calibri" w:hAnsi="Calibri" w:cs="Calibri" w:eastAsia="Calibri"/>
          <w:b/>
          <w:i w:val="0"/>
          <w:color w:val="5B3E96"/>
          <w:sz w:val="26"/>
        </w:rPr>
        <w:t>Did it change anything?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ayout w:type="fixed"/>
      </w:tblPr>
      <w:tblGrid>
        <w:gridCol w:w="1800"/>
        <w:gridCol w:w="3528"/>
        <w:gridCol w:w="4320"/>
      </w:tblGrid>
      <w:tr>
        <w:tc>
          <w:tcPr>
            <w:tcW w:type="dxa" w:w="1800"/>
            <w:shd w:val="clear" w:color="auto" w:fill="5B3E96"/>
          </w:tcPr>
          <w:p>
            <w:r>
              <w:rPr>
                <w:rFonts w:ascii="Calibri" w:hAnsi="Calibri" w:cs="Calibri" w:eastAsia="Calibri"/>
                <w:b/>
                <w:i w:val="0"/>
                <w:color w:val="FFFFFF"/>
                <w:sz w:val="19"/>
              </w:rPr>
              <w:t>Level</w:t>
            </w:r>
          </w:p>
        </w:tc>
        <w:tc>
          <w:tcPr>
            <w:tcW w:type="dxa" w:w="3528"/>
            <w:shd w:val="clear" w:color="auto" w:fill="5B3E96"/>
          </w:tcPr>
          <w:p>
            <w:r>
              <w:rPr>
                <w:rFonts w:ascii="Calibri" w:hAnsi="Calibri" w:cs="Calibri" w:eastAsia="Calibri"/>
                <w:b/>
                <w:i w:val="0"/>
                <w:color w:val="FFFFFF"/>
                <w:sz w:val="19"/>
              </w:rPr>
              <w:t>What we measured</w:t>
            </w:r>
          </w:p>
        </w:tc>
        <w:tc>
          <w:tcPr>
            <w:tcW w:type="dxa" w:w="4320"/>
            <w:shd w:val="clear" w:color="auto" w:fill="5B3E96"/>
          </w:tcPr>
          <w:p>
            <w:r>
              <w:rPr>
                <w:rFonts w:ascii="Calibri" w:hAnsi="Calibri" w:cs="Calibri" w:eastAsia="Calibri"/>
                <w:b/>
                <w:i w:val="0"/>
                <w:color w:val="FFFFFF"/>
                <w:sz w:val="19"/>
              </w:rPr>
              <w:t>Result</w:t>
            </w:r>
          </w:p>
        </w:tc>
      </w:tr>
      <w:tr>
        <w:tc>
          <w:tcPr>
            <w:tcW w:type="dxa" w:w="1800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2A2438"/>
                <w:sz w:val="20"/>
              </w:rPr>
              <w:t>1 · Reaction</w:t>
            </w:r>
          </w:p>
        </w:tc>
        <w:tc>
          <w:tcPr>
            <w:tcW w:type="dxa" w:w="352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End-of-session survey (out of 5)</w:t>
            </w:r>
          </w:p>
        </w:tc>
        <w:tc>
          <w:tcPr>
            <w:tcW w:type="dxa" w:w="4320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4.5 average; S4 (hybrid) lowest at 4.2</w:t>
            </w:r>
          </w:p>
        </w:tc>
      </w:tr>
      <w:tr>
        <w:tc>
          <w:tcPr>
            <w:tcW w:type="dxa" w:w="1800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2A2438"/>
                <w:sz w:val="20"/>
              </w:rPr>
              <w:t>2 · Learning</w:t>
            </w:r>
          </w:p>
        </w:tc>
        <w:tc>
          <w:tcPr>
            <w:tcW w:type="dxa" w:w="352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Diagnostic test before and after</w:t>
            </w:r>
          </w:p>
        </w:tc>
        <w:tc>
          <w:tcPr>
            <w:tcW w:type="dxa" w:w="4320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59 → 84 average; 20 of 22 passed (80+)</w:t>
            </w:r>
          </w:p>
        </w:tc>
      </w:tr>
      <w:tr>
        <w:tc>
          <w:tcPr>
            <w:tcW w:type="dxa" w:w="1800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2A2438"/>
                <w:sz w:val="20"/>
              </w:rPr>
              <w:t>3 · Behavior</w:t>
            </w:r>
          </w:p>
        </w:tc>
        <w:tc>
          <w:tcPr>
            <w:tcW w:type="dxa" w:w="352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Ride-along check at 30 days</w:t>
            </w:r>
          </w:p>
        </w:tc>
        <w:tc>
          <w:tcPr>
            <w:tcW w:type="dxa" w:w="4320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17 applying · 3 not · 2 not yet observed</w:t>
            </w:r>
          </w:p>
        </w:tc>
      </w:tr>
      <w:tr>
        <w:tc>
          <w:tcPr>
            <w:tcW w:type="dxa" w:w="1800"/>
            <w:tcBorders>
              <w:bottom w:val="single" w:sz="4" w:color="DDD7E8" w:space="0"/>
            </w:tcBorders>
            <w:shd w:val="clear" w:color="auto" w:fill="E2F6F0"/>
          </w:tcPr>
          <w:p>
            <w:r>
              <w:rPr>
                <w:rFonts w:ascii="Calibri" w:hAnsi="Calibri" w:cs="Calibri" w:eastAsia="Calibri"/>
                <w:b/>
                <w:i w:val="0"/>
                <w:color w:val="2A2438"/>
                <w:sz w:val="20"/>
              </w:rPr>
              <w:t>4 · Results</w:t>
            </w:r>
          </w:p>
        </w:tc>
        <w:tc>
          <w:tcPr>
            <w:tcW w:type="dxa" w:w="3528"/>
            <w:tcBorders>
              <w:bottom w:val="single" w:sz="4" w:color="DDD7E8" w:space="0"/>
            </w:tcBorders>
            <w:shd w:val="clear" w:color="auto" w:fill="E2F6F0"/>
          </w:tcPr>
          <w:p>
            <w:r>
              <w:rPr>
                <w:rFonts w:ascii="Calibri" w:hAnsi="Calibri" w:cs="Calibri" w:eastAsia="Calibri"/>
                <w:b w:val="0"/>
                <w:i w:val="0"/>
                <w:color w:val="2A2438"/>
                <w:sz w:val="20"/>
              </w:rPr>
              <w:t>Job data, Apr–Jun vs Sep</w:t>
            </w:r>
          </w:p>
        </w:tc>
        <w:tc>
          <w:tcPr>
            <w:tcW w:type="dxa" w:w="4320"/>
            <w:tcBorders>
              <w:bottom w:val="single" w:sz="4" w:color="DDD7E8" w:space="0"/>
            </w:tcBorders>
            <w:shd w:val="clear" w:color="auto" w:fill="E2F6F0"/>
          </w:tcPr>
          <w:p>
            <w:r>
              <w:rPr>
                <w:rFonts w:ascii="Calibri" w:hAnsi="Calibri" w:cs="Calibri" w:eastAsia="Calibri"/>
                <w:b/>
                <w:i w:val="0"/>
                <w:color w:val="1E8A6E"/>
                <w:sz w:val="20"/>
              </w:rPr>
              <w:t>First-time fix 71% → 79%; callbacks 9.4 → 6.8</w:t>
            </w:r>
          </w:p>
        </w:tc>
      </w:tr>
    </w:tbl>
    <w:p>
      <w:pPr>
        <w:spacing w:after="80" w:before="280"/>
      </w:pPr>
      <w:r>
        <w:rPr>
          <w:rFonts w:ascii="Calibri" w:hAnsi="Calibri" w:cs="Calibri" w:eastAsia="Calibri"/>
          <w:b/>
          <w:i w:val="0"/>
          <w:color w:val="5B3E96"/>
          <w:sz w:val="26"/>
        </w:rPr>
        <w:t>What changed on the job</w:t>
      </w:r>
    </w:p>
    <w:p>
      <w:pPr>
        <w:spacing w:after="60" w:before="40"/>
        <w:ind w:left="317" w:hanging="317"/>
      </w:pPr>
      <w:r>
        <w:rPr>
          <w:rFonts w:ascii="Calibri" w:hAnsi="Calibri" w:cs="Calibri" w:eastAsia="Calibri"/>
          <w:b w:val="0"/>
          <w:i w:val="0"/>
          <w:color w:val="3FBFA0"/>
          <w:sz w:val="16"/>
        </w:rPr>
        <w:t xml:space="preserve">◆  </w:t>
      </w:r>
      <w:r>
        <w:rPr>
          <w:rFonts w:ascii="Calibri" w:hAnsi="Calibri" w:cs="Calibri" w:eastAsia="Calibri"/>
          <w:b/>
          <w:i w:val="0"/>
          <w:sz w:val="21"/>
        </w:rPr>
        <w:t xml:space="preserve">Pre-visit checklist. </w:t>
      </w:r>
      <w:r>
        <w:rPr>
          <w:rFonts w:ascii="Calibri" w:hAnsi="Calibri" w:cs="Calibri" w:eastAsia="Calibri"/>
          <w:b w:val="0"/>
          <w:i w:val="0"/>
          <w:sz w:val="21"/>
        </w:rPr>
        <w:t>Techs now call ahead to confirm the unit model and symptoms, then load likely parts before leaving. This is where most of the callback drop came from.</w:t>
      </w:r>
    </w:p>
    <w:p>
      <w:pPr>
        <w:spacing w:after="60" w:before="40"/>
        <w:ind w:left="317" w:hanging="317"/>
      </w:pPr>
      <w:r>
        <w:rPr>
          <w:rFonts w:ascii="Calibri" w:hAnsi="Calibri" w:cs="Calibri" w:eastAsia="Calibri"/>
          <w:b w:val="0"/>
          <w:i w:val="0"/>
          <w:color w:val="3FBFA0"/>
          <w:sz w:val="16"/>
        </w:rPr>
        <w:t xml:space="preserve">◆  </w:t>
      </w:r>
      <w:r>
        <w:rPr>
          <w:rFonts w:ascii="Calibri" w:hAnsi="Calibri" w:cs="Calibri" w:eastAsia="Calibri"/>
          <w:b/>
          <w:i w:val="0"/>
          <w:sz w:val="21"/>
        </w:rPr>
        <w:t xml:space="preserve">Van stock. </w:t>
      </w:r>
      <w:r>
        <w:rPr>
          <w:rFonts w:ascii="Calibri" w:hAnsi="Calibri" w:cs="Calibri" w:eastAsia="Calibri"/>
          <w:b w:val="0"/>
          <w:i w:val="0"/>
          <w:sz w:val="21"/>
        </w:rPr>
        <w:t>Each van now carries the 12 parts behind most return visits (capacitors, igniters, flame sensors, fill valves). It's restocked weekly against a list.</w:t>
      </w:r>
    </w:p>
    <w:p>
      <w:pPr>
        <w:spacing w:after="60" w:before="40"/>
        <w:ind w:left="317" w:hanging="317"/>
      </w:pPr>
      <w:r>
        <w:rPr>
          <w:rFonts w:ascii="Calibri" w:hAnsi="Calibri" w:cs="Calibri" w:eastAsia="Calibri"/>
          <w:b w:val="0"/>
          <w:i w:val="0"/>
          <w:color w:val="3FBFA0"/>
          <w:sz w:val="16"/>
        </w:rPr>
        <w:t xml:space="preserve">◆  </w:t>
      </w:r>
      <w:r>
        <w:rPr>
          <w:rFonts w:ascii="Calibri" w:hAnsi="Calibri" w:cs="Calibri" w:eastAsia="Calibri"/>
          <w:b/>
          <w:i w:val="0"/>
          <w:sz w:val="21"/>
        </w:rPr>
        <w:t xml:space="preserve">Not yet working: </w:t>
      </w:r>
      <w:r>
        <w:rPr>
          <w:rFonts w:ascii="Calibri" w:hAnsi="Calibri" w:cs="Calibri" w:eastAsia="Calibri"/>
          <w:b w:val="0"/>
          <w:i w:val="0"/>
          <w:sz w:val="21"/>
        </w:rPr>
        <w:t>the three technicians not applying the checklist are all on the North team, which has the oldest vans and the least storage space.</w:t>
      </w:r>
    </w:p>
    <w:p>
      <w:pPr>
        <w:spacing w:after="80" w:before="280"/>
      </w:pPr>
      <w:r>
        <w:rPr>
          <w:rFonts w:ascii="Calibri" w:hAnsi="Calibri" w:cs="Calibri" w:eastAsia="Calibri"/>
          <w:b/>
          <w:i w:val="0"/>
          <w:color w:val="5B3E96"/>
          <w:sz w:val="26"/>
        </w:rPr>
        <w:t>Cost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ayout w:type="fixed"/>
      </w:tblPr>
      <w:tblGrid>
        <w:gridCol w:w="6768"/>
        <w:gridCol w:w="2880"/>
      </w:tblGrid>
      <w:tr>
        <w:tc>
          <w:tcPr>
            <w:tcW w:type="dxa" w:w="676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Trainer fees and materials</w:t>
            </w:r>
          </w:p>
        </w:tc>
        <w:tc>
          <w:tcPr>
            <w:tcW w:type="dxa" w:w="2880"/>
            <w:tcBorders>
              <w:bottom w:val="single" w:sz="4" w:color="DDD7E8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2A2438"/>
                <w:sz w:val="21"/>
              </w:rPr>
              <w:t>$5,550</w:t>
            </w:r>
          </w:p>
        </w:tc>
      </w:tr>
      <w:tr>
        <w:tc>
          <w:tcPr>
            <w:tcW w:type="dxa" w:w="676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Technician time off the road (22 × 7 h × $38)</w:t>
            </w:r>
          </w:p>
        </w:tc>
        <w:tc>
          <w:tcPr>
            <w:tcW w:type="dxa" w:w="2880"/>
            <w:tcBorders>
              <w:bottom w:val="single" w:sz="4" w:color="DDD7E8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2A2438"/>
                <w:sz w:val="21"/>
              </w:rPr>
              <w:t>$5,852</w:t>
            </w:r>
          </w:p>
        </w:tc>
      </w:tr>
      <w:tr>
        <w:tc>
          <w:tcPr>
            <w:tcW w:type="dxa" w:w="676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1"/>
              </w:rPr>
              <w:t>Total</w:t>
            </w:r>
          </w:p>
        </w:tc>
        <w:tc>
          <w:tcPr>
            <w:tcW w:type="dxa" w:w="2880"/>
            <w:tcBorders>
              <w:bottom w:val="single" w:sz="4" w:color="DDD7E8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5B3E96"/>
                <w:sz w:val="21"/>
              </w:rPr>
              <w:t>$11,402</w:t>
            </w:r>
          </w:p>
        </w:tc>
      </w:tr>
      <w:tr>
        <w:tc>
          <w:tcPr>
            <w:tcW w:type="dxa" w:w="676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Per trained technician</w:t>
            </w:r>
          </w:p>
        </w:tc>
        <w:tc>
          <w:tcPr>
            <w:tcW w:type="dxa" w:w="2880"/>
            <w:tcBorders>
              <w:bottom w:val="single" w:sz="4" w:color="DDD7E8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2A2438"/>
                <w:sz w:val="21"/>
              </w:rPr>
              <w:t>$518</w:t>
            </w:r>
          </w:p>
        </w:tc>
      </w:tr>
      <w:tr>
        <w:tc>
          <w:tcPr>
            <w:tcW w:type="dxa" w:w="6768"/>
            <w:tcBorders>
              <w:bottom w:val="single" w:sz="4" w:color="DDD7E8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1"/>
              </w:rPr>
              <w:t>Payback from avoided callbacks</w:t>
            </w:r>
          </w:p>
        </w:tc>
        <w:tc>
          <w:tcPr>
            <w:tcW w:type="dxa" w:w="2880"/>
            <w:tcBorders>
              <w:bottom w:val="single" w:sz="4" w:color="DDD7E8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5B3E96"/>
                <w:sz w:val="21"/>
              </w:rPr>
              <w:t>2.3 months</w:t>
            </w:r>
          </w:p>
        </w:tc>
      </w:tr>
    </w:tbl>
    <w:p>
      <w:pPr>
        <w:spacing w:after="80" w:before="280"/>
      </w:pPr>
      <w:r>
        <w:rPr>
          <w:rFonts w:ascii="Calibri" w:hAnsi="Calibri" w:cs="Calibri" w:eastAsia="Calibri"/>
          <w:b/>
          <w:i w:val="0"/>
          <w:color w:val="5B3E96"/>
          <w:sz w:val="26"/>
        </w:rPr>
        <w:t>Recommendations</w:t>
      </w:r>
    </w:p>
    <w:p>
      <w:pPr>
        <w:spacing w:after="60" w:before="40"/>
        <w:ind w:left="360" w:hanging="360"/>
      </w:pPr>
      <w:r>
        <w:rPr>
          <w:rFonts w:ascii="Calibri" w:hAnsi="Calibri" w:cs="Calibri" w:eastAsia="Calibri"/>
          <w:b/>
          <w:i w:val="0"/>
          <w:color w:val="5B3E96"/>
          <w:sz w:val="21"/>
        </w:rPr>
        <w:t xml:space="preserve">1.  </w:t>
      </w:r>
      <w:r>
        <w:rPr>
          <w:rFonts w:ascii="Calibri" w:hAnsi="Calibri" w:cs="Calibri" w:eastAsia="Calibri"/>
          <w:b w:val="0"/>
          <w:i w:val="0"/>
          <w:sz w:val="21"/>
        </w:rPr>
        <w:t>Run one catch-up session in November for the 2 technicians who missed the workshop, plus 4 new hires.</w:t>
      </w:r>
    </w:p>
    <w:p>
      <w:pPr>
        <w:spacing w:after="60" w:before="40"/>
        <w:ind w:left="360" w:hanging="360"/>
      </w:pPr>
      <w:r>
        <w:rPr>
          <w:rFonts w:ascii="Calibri" w:hAnsi="Calibri" w:cs="Calibri" w:eastAsia="Calibri"/>
          <w:b/>
          <w:i w:val="0"/>
          <w:color w:val="5B3E96"/>
          <w:sz w:val="21"/>
        </w:rPr>
        <w:t xml:space="preserve">2.  </w:t>
      </w:r>
      <w:r>
        <w:rPr>
          <w:rFonts w:ascii="Calibri" w:hAnsi="Calibri" w:cs="Calibri" w:eastAsia="Calibri"/>
          <w:b w:val="0"/>
          <w:i w:val="0"/>
          <w:sz w:val="21"/>
        </w:rPr>
        <w:t>Fix the North team's van storage before retraining them. The checklist only works if the parts fit in the van.</w:t>
      </w:r>
    </w:p>
    <w:p>
      <w:pPr>
        <w:spacing w:after="60" w:before="40"/>
        <w:ind w:left="360" w:hanging="360"/>
      </w:pPr>
      <w:r>
        <w:rPr>
          <w:rFonts w:ascii="Calibri" w:hAnsi="Calibri" w:cs="Calibri" w:eastAsia="Calibri"/>
          <w:b/>
          <w:i w:val="0"/>
          <w:color w:val="5B3E96"/>
          <w:sz w:val="21"/>
        </w:rPr>
        <w:t xml:space="preserve">3.  </w:t>
      </w:r>
      <w:r>
        <w:rPr>
          <w:rFonts w:ascii="Calibri" w:hAnsi="Calibri" w:cs="Calibri" w:eastAsia="Calibri"/>
          <w:b w:val="0"/>
          <w:i w:val="0"/>
          <w:sz w:val="21"/>
        </w:rPr>
        <w:t>Drop the hybrid format for hands-on content. S4 scored lowest on satisfaction and post-test.</w:t>
      </w:r>
    </w:p>
    <w:p>
      <w:pPr>
        <w:spacing w:after="60" w:before="40"/>
        <w:ind w:left="360" w:hanging="360"/>
      </w:pPr>
      <w:r>
        <w:rPr>
          <w:rFonts w:ascii="Calibri" w:hAnsi="Calibri" w:cs="Calibri" w:eastAsia="Calibri"/>
          <w:b/>
          <w:i w:val="0"/>
          <w:color w:val="5B3E96"/>
          <w:sz w:val="21"/>
        </w:rPr>
        <w:t xml:space="preserve">4.  </w:t>
      </w:r>
      <w:r>
        <w:rPr>
          <w:rFonts w:ascii="Calibri" w:hAnsi="Calibri" w:cs="Calibri" w:eastAsia="Calibri"/>
          <w:b w:val="0"/>
          <w:i w:val="0"/>
          <w:sz w:val="21"/>
        </w:rPr>
        <w:t>Re-check first-time fix and callbacks in December to confirm the gain holds.</w:t>
      </w:r>
    </w:p>
    <w:sectPr w:rsidR="00FC693F" w:rsidRPr="0006063C" w:rsidSect="00034616">
      <w:pgSz w:w="12240" w:h="15840"/>
      <w:pgMar w:top="864" w:right="1296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color w:val="2A24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