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left w:val="nil"/>
          <w:bottom w:val="nil"/>
          <w:right w:val="nil"/>
          <w:insideH w:val="nil"/>
          <w:insideV w:val="nil"/>
        </w:tblBorders>
        <w:tblLayout w:type="fixed"/>
        <w:tblCellMar>
          <w:top w:w="160" w:type="dxa"/>
          <w:left w:w="200" w:type="dxa"/>
          <w:bottom w:w="160" w:type="dxa"/>
          <w:right w:w="200" w:type="dxa"/>
        </w:tblCellMar>
        <w:tblLayout w:type="fixed"/>
      </w:tblPr>
      <w:tblGrid>
        <w:gridCol w:w="6912"/>
        <w:gridCol w:w="3311"/>
      </w:tblGrid>
      <w:tr>
        <w:tc>
          <w:tcPr>
            <w:tcW w:type="dxa" w:w="6912"/>
            <w:shd w:val="clear" w:color="auto" w:fill="0B4F5C"/>
            <w:vAlign w:val="center"/>
            <w:tcMar>
              <w:top w:w="170" w:type="dxa"/>
              <w:left w:w="220" w:type="dxa"/>
              <w:bottom w:w="170" w:type="dxa"/>
              <w:right w:w="220" w:type="dxa"/>
            </w:tcMar>
          </w:tcPr>
          <w:p>
            <w:pPr>
              <w:spacing w:after="0" w:before="0" w:line="240" w:lineRule="auto"/>
              <w:jc w:val="left"/>
            </w:pPr>
            <w:r/>
            <w:r>
              <w:rPr>
                <w:rFonts w:ascii="Century Gothic" w:hAnsi="Century Gothic" w:eastAsia="Century Gothic" w:cs="Century Gothic"/>
                <w:b/>
                <w:i w:val="0"/>
                <w:color w:val="9FD3D9"/>
                <w:sz w:val="16"/>
              </w:rPr>
              <w:t>MONTHLY RECAP</w:t>
            </w:r>
          </w:p>
          <w:p>
            <w:pPr>
              <w:spacing w:after="0" w:before="0" w:line="240" w:lineRule="auto"/>
              <w:jc w:val="left"/>
            </w:pPr>
            <w:r>
              <w:rPr>
                <w:rFonts w:ascii="Century Gothic" w:hAnsi="Century Gothic" w:eastAsia="Century Gothic" w:cs="Century Gothic"/>
                <w:b/>
                <w:i w:val="0"/>
                <w:color w:val="FFFFFF"/>
                <w:sz w:val="48"/>
              </w:rPr>
              <w:t>Social Media Report</w:t>
            </w:r>
          </w:p>
          <w:p>
            <w:pPr>
              <w:spacing w:after="0" w:before="0" w:line="240" w:lineRule="auto"/>
              <w:jc w:val="left"/>
            </w:pPr>
            <w:r>
              <w:rPr>
                <w:rFonts w:ascii="Aptos" w:hAnsi="Aptos" w:eastAsia="Aptos" w:cs="Aptos"/>
                <w:b w:val="0"/>
                <w:i w:val="0"/>
                <w:color w:val="9FD3D9"/>
                <w:sz w:val="18"/>
              </w:rPr>
              <w:t>Ridgeline Coffee Roasters  ·  all five channels</w:t>
            </w:r>
          </w:p>
        </w:tc>
        <w:tc>
          <w:tcPr>
            <w:tcW w:type="dxa" w:w="3312"/>
            <w:shd w:val="clear" w:color="auto" w:fill="0B4F5C"/>
            <w:vAlign w:val="center"/>
            <w:tcMar>
              <w:top w:w="170" w:type="dxa"/>
              <w:left w:w="220" w:type="dxa"/>
              <w:bottom w:w="170" w:type="dxa"/>
              <w:right w:w="220" w:type="dxa"/>
            </w:tcMar>
          </w:tcPr>
          <w:p>
            <w:pPr>
              <w:spacing w:after="0" w:before="0" w:line="240" w:lineRule="auto"/>
              <w:jc w:val="right"/>
            </w:pPr>
            <w:r/>
            <w:r>
              <w:rPr>
                <w:rFonts w:ascii="Century Gothic" w:hAnsi="Century Gothic" w:eastAsia="Century Gothic" w:cs="Century Gothic"/>
                <w:b/>
                <w:i w:val="0"/>
                <w:color w:val="FFFFFF"/>
                <w:sz w:val="22"/>
              </w:rPr>
              <w:t>SEPTEMBER 2026</w:t>
            </w:r>
          </w:p>
          <w:p>
            <w:pPr>
              <w:spacing w:after="0" w:before="0" w:line="240" w:lineRule="auto"/>
              <w:jc w:val="right"/>
            </w:pPr>
            <w:r>
              <w:rPr>
                <w:rFonts w:ascii="Aptos" w:hAnsi="Aptos" w:eastAsia="Aptos" w:cs="Aptos"/>
                <w:b w:val="0"/>
                <w:i w:val="0"/>
                <w:color w:val="9FD3D9"/>
                <w:sz w:val="17"/>
              </w:rPr>
              <w:t>Prepared by Jess Moreno</w:t>
            </w:r>
          </w:p>
          <w:p>
            <w:pPr>
              <w:spacing w:after="0" w:before="0" w:line="240" w:lineRule="auto"/>
              <w:jc w:val="right"/>
            </w:pPr>
            <w:r>
              <w:rPr>
                <w:rFonts w:ascii="Aptos" w:hAnsi="Aptos" w:eastAsia="Aptos" w:cs="Aptos"/>
                <w:b w:val="0"/>
                <w:i w:val="0"/>
                <w:color w:val="9FD3D9"/>
                <w:sz w:val="17"/>
              </w:rPr>
              <w:t>Sent October 3, 2026</w:t>
            </w:r>
          </w:p>
        </w:tc>
      </w:tr>
    </w:tbl>
    <w:tbl>
      <w:tblPr>
        <w:tblW w:type="auto" w:w="0"/>
        <w:tblLook w:firstColumn="1" w:firstRow="1" w:lastColumn="0" w:lastRow="0" w:noHBand="0" w:noVBand="1" w:val="04A0"/>
        <w:tblBorders>
          <w:top w:val="nil"/>
          <w:left w:val="nil"/>
          <w:bottom w:val="nil"/>
          <w:right w:val="nil"/>
          <w:insideH w:val="nil"/>
          <w:insideV w:val="nil"/>
        </w:tblBorders>
        <w:tblLayout w:type="fixed"/>
        <w:tblCellMar>
          <w:top w:w="0" w:type="dxa"/>
          <w:left w:w="0" w:type="dxa"/>
          <w:bottom w:w="0" w:type="dxa"/>
          <w:right w:w="0" w:type="dxa"/>
        </w:tblCellMar>
        <w:tblLayout w:type="fixed"/>
      </w:tblPr>
      <w:tblGrid>
        <w:gridCol w:w="10224"/>
      </w:tblGrid>
      <w:tr>
        <w:trPr>
          <w:trHeight w:val="70" w:hRule="exact"/>
        </w:trPr>
        <w:tc>
          <w:tcPr>
            <w:tcW w:type="dxa" w:w="10224"/>
            <w:shd w:val="clear" w:color="auto" w:fill="E0457B"/>
            <w:vAlign w:val="center"/>
          </w:tcPr>
          <w:p>
            <w:pPr>
              <w:spacing w:after="0" w:before="0" w:line="240" w:lineRule="auto"/>
              <w:jc w:val="left"/>
            </w:pPr>
            <w:r/>
            <w:r>
              <w:rPr>
                <w:rFonts w:ascii="Aptos" w:hAnsi="Aptos" w:eastAsia="Aptos" w:cs="Aptos"/>
                <w:b w:val="0"/>
                <w:i w:val="0"/>
                <w:color w:val="1F2A30"/>
                <w:sz w:val="4"/>
              </w:rPr>
            </w:r>
          </w:p>
        </w:tc>
      </w:tr>
    </w:tbl>
    <w:p>
      <w:pPr>
        <w:keepNext/>
        <w:pageBreakBefore w:val="0"/>
        <w:spacing w:before="260" w:after="0"/>
      </w:pPr>
      <w:r>
        <w:rPr>
          <w:rFonts w:ascii="Century Gothic" w:hAnsi="Century Gothic" w:eastAsia="Century Gothic" w:cs="Century Gothic"/>
          <w:b/>
          <w:color w:val="E0457B"/>
          <w:sz w:val="15"/>
        </w:rPr>
        <w:t>THE MONTH IN ONE PARAGRAPH</w:t>
      </w:r>
    </w:p>
    <w:p>
      <w:pPr>
        <w:keepNext/>
        <w:spacing w:after="120"/>
      </w:pPr>
      <w:r>
        <w:rPr>
          <w:rFonts w:ascii="Century Gothic" w:hAnsi="Century Gothic" w:eastAsia="Century Gothic" w:cs="Century Gothic"/>
          <w:b/>
          <w:color w:val="0B4F5C"/>
          <w:sz w:val="28"/>
        </w:rPr>
        <w:t>Reach and engagement up, clicks still short</w:t>
      </w:r>
    </w:p>
    <w:p>
      <w:pPr>
        <w:spacing w:before="0" w:after="100"/>
        <w:jc w:val="left"/>
      </w:pPr>
      <w:r>
        <w:rPr>
          <w:rFonts w:ascii="Aptos" w:hAnsi="Aptos" w:eastAsia="Aptos" w:cs="Aptos"/>
          <w:b w:val="0"/>
          <w:i w:val="0"/>
          <w:color w:val="1F2A30"/>
          <w:sz w:val="20"/>
        </w:rPr>
        <w:t>September was our best month of the year for reach (420,800, up 13%) and engagement rate (7.03%, up from 6.48%). TikTok did most of the lifting: two behind-the-scenes videos alone reached almost 150,000 people and the account grew 14%. Instagram is still where sales come from, with 64 of our 148 tracked conversions. We hit two of four goals. Link clicks (4,550 against 5,000) and conversions (148 against 150) came in just short.</w:t>
      </w:r>
    </w:p>
    <w:tbl>
      <w:tblPr>
        <w:tblW w:type="auto" w:w="0"/>
        <w:tblLook w:firstColumn="1" w:firstRow="1" w:lastColumn="0" w:lastRow="0" w:noHBand="0" w:noVBand="1" w:val="04A0"/>
        <w:jc w:val="center"/>
        <w:tblBorders>
          <w:top w:val="nil"/>
          <w:left w:val="nil"/>
          <w:bottom w:val="nil"/>
          <w:right w:val="nil"/>
          <w:insideH w:val="nil"/>
          <w:insideV w:val="nil"/>
        </w:tblBorders>
        <w:tblLayout w:type="fixed"/>
        <w:tblCellMar>
          <w:top w:w="50" w:type="dxa"/>
          <w:left w:w="80" w:type="dxa"/>
          <w:bottom w:w="50" w:type="dxa"/>
          <w:right w:w="80" w:type="dxa"/>
        </w:tblCellMar>
        <w:tblLayout w:type="fixed"/>
      </w:tblPr>
      <w:tblGrid>
        <w:gridCol w:w="2556"/>
        <w:gridCol w:w="2556"/>
        <w:gridCol w:w="2556"/>
        <w:gridCol w:w="2556"/>
      </w:tblGrid>
      <w:tr>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13707F"/>
                <w:sz w:val="15"/>
              </w:rPr>
              <w:t>FOLLOWERS</w:t>
            </w:r>
          </w:p>
        </w:tc>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13707F"/>
                <w:sz w:val="15"/>
              </w:rPr>
              <w:t>REACH</w:t>
            </w:r>
          </w:p>
        </w:tc>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13707F"/>
                <w:sz w:val="15"/>
              </w:rPr>
              <w:t>ENGAGEMENT RATE</w:t>
            </w:r>
          </w:p>
        </w:tc>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13707F"/>
                <w:sz w:val="15"/>
              </w:rPr>
              <w:t>CONVERSIONS</w:t>
            </w:r>
          </w:p>
        </w:tc>
      </w:tr>
      <w:tr>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E0457B"/>
                <w:sz w:val="42"/>
              </w:rPr>
              <w:t>48,110</w:t>
            </w:r>
          </w:p>
        </w:tc>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E0457B"/>
                <w:sz w:val="42"/>
              </w:rPr>
              <w:t>420.8K</w:t>
            </w:r>
          </w:p>
        </w:tc>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E0457B"/>
                <w:sz w:val="42"/>
              </w:rPr>
              <w:t>7.03%</w:t>
            </w:r>
          </w:p>
        </w:tc>
        <w:tc>
          <w:tcPr>
            <w:tcW w:type="dxa" w:w="2556"/>
            <w:vAlign w:val="center"/>
            <w:tcBorders>
              <w:left w:val="single" w:sz="18" w:color="0B4F5C"/>
            </w:tcBorders>
          </w:tcPr>
          <w:p>
            <w:pPr>
              <w:spacing w:after="0" w:before="0" w:line="240" w:lineRule="auto"/>
              <w:jc w:val="left"/>
            </w:pPr>
            <w:r/>
            <w:r>
              <w:rPr>
                <w:rFonts w:ascii="Century Gothic" w:hAnsi="Century Gothic" w:eastAsia="Century Gothic" w:cs="Century Gothic"/>
                <w:b/>
                <w:i w:val="0"/>
                <w:color w:val="E0457B"/>
                <w:sz w:val="42"/>
              </w:rPr>
              <w:t>148</w:t>
            </w:r>
          </w:p>
        </w:tc>
      </w:tr>
      <w:tr>
        <w:tc>
          <w:tcPr>
            <w:tcW w:type="dxa" w:w="2556"/>
            <w:vAlign w:val="center"/>
            <w:tcBorders>
              <w:left w:val="single" w:sz="18" w:color="0B4F5C"/>
            </w:tcBorders>
          </w:tcPr>
          <w:p>
            <w:pPr>
              <w:spacing w:after="0" w:before="0" w:line="240" w:lineRule="auto"/>
              <w:jc w:val="left"/>
            </w:pPr>
            <w:r/>
            <w:r>
              <w:rPr>
                <w:rFonts w:ascii="Aptos" w:hAnsi="Aptos" w:eastAsia="Aptos" w:cs="Aptos"/>
                <w:b w:val="0"/>
                <w:i w:val="0"/>
                <w:color w:val="6B7A80"/>
                <w:sz w:val="16"/>
              </w:rPr>
              <w:t>+2,330 (5.1%)</w:t>
            </w:r>
          </w:p>
        </w:tc>
        <w:tc>
          <w:tcPr>
            <w:tcW w:type="dxa" w:w="2556"/>
            <w:vAlign w:val="center"/>
            <w:tcBorders>
              <w:left w:val="single" w:sz="18" w:color="0B4F5C"/>
            </w:tcBorders>
          </w:tcPr>
          <w:p>
            <w:pPr>
              <w:spacing w:after="0" w:before="0" w:line="240" w:lineRule="auto"/>
              <w:jc w:val="left"/>
            </w:pPr>
            <w:r/>
            <w:r>
              <w:rPr>
                <w:rFonts w:ascii="Aptos" w:hAnsi="Aptos" w:eastAsia="Aptos" w:cs="Aptos"/>
                <w:b w:val="0"/>
                <w:i w:val="0"/>
                <w:color w:val="6B7A80"/>
                <w:sz w:val="16"/>
              </w:rPr>
              <w:t>+13% vs August</w:t>
            </w:r>
          </w:p>
        </w:tc>
        <w:tc>
          <w:tcPr>
            <w:tcW w:type="dxa" w:w="2556"/>
            <w:vAlign w:val="center"/>
            <w:tcBorders>
              <w:left w:val="single" w:sz="18" w:color="0B4F5C"/>
            </w:tcBorders>
          </w:tcPr>
          <w:p>
            <w:pPr>
              <w:spacing w:after="0" w:before="0" w:line="240" w:lineRule="auto"/>
              <w:jc w:val="left"/>
            </w:pPr>
            <w:r/>
            <w:r>
              <w:rPr>
                <w:rFonts w:ascii="Aptos" w:hAnsi="Aptos" w:eastAsia="Aptos" w:cs="Aptos"/>
                <w:b w:val="0"/>
                <w:i w:val="0"/>
                <w:color w:val="6B7A80"/>
                <w:sz w:val="16"/>
              </w:rPr>
              <w:t>+0.55 pts vs August</w:t>
            </w:r>
          </w:p>
        </w:tc>
        <w:tc>
          <w:tcPr>
            <w:tcW w:type="dxa" w:w="2556"/>
            <w:vAlign w:val="center"/>
            <w:tcBorders>
              <w:left w:val="single" w:sz="18" w:color="0B4F5C"/>
            </w:tcBorders>
          </w:tcPr>
          <w:p>
            <w:pPr>
              <w:spacing w:after="0" w:before="0" w:line="240" w:lineRule="auto"/>
              <w:jc w:val="left"/>
            </w:pPr>
            <w:r/>
            <w:r>
              <w:rPr>
                <w:rFonts w:ascii="Aptos" w:hAnsi="Aptos" w:eastAsia="Aptos" w:cs="Aptos"/>
                <w:b w:val="0"/>
                <w:i w:val="0"/>
                <w:color w:val="6B7A80"/>
                <w:sz w:val="16"/>
              </w:rPr>
              <w:t>+15% vs August</w:t>
            </w:r>
          </w:p>
        </w:tc>
      </w:tr>
    </w:tbl>
    <w:p>
      <w:pPr>
        <w:keepNext/>
        <w:pageBreakBefore w:val="0"/>
        <w:spacing w:before="260" w:after="0"/>
      </w:pPr>
      <w:r>
        <w:rPr>
          <w:rFonts w:ascii="Century Gothic" w:hAnsi="Century Gothic" w:eastAsia="Century Gothic" w:cs="Century Gothic"/>
          <w:b/>
          <w:color w:val="E0457B"/>
          <w:sz w:val="15"/>
        </w:rPr>
        <w:t>BY CHANNEL</w:t>
      </w:r>
    </w:p>
    <w:p>
      <w:pPr>
        <w:keepNext/>
        <w:spacing w:after="120"/>
      </w:pPr>
      <w:r>
        <w:rPr>
          <w:rFonts w:ascii="Century Gothic" w:hAnsi="Century Gothic" w:eastAsia="Century Gothic" w:cs="Century Gothic"/>
          <w:b/>
          <w:color w:val="0B4F5C"/>
          <w:sz w:val="28"/>
        </w:rPr>
        <w:t>Channel snapshot</w:t>
      </w:r>
    </w:p>
    <w:tbl>
      <w:tblPr>
        <w:tblW w:type="auto" w:w="0"/>
        <w:tblLook w:firstColumn="1" w:firstRow="1" w:lastColumn="0" w:lastRow="0" w:noHBand="0" w:noVBand="1" w:val="04A0"/>
        <w:jc w:val="center"/>
        <w:tblBorders>
          <w:top w:val="nil"/>
          <w:left w:val="nil"/>
          <w:bottom w:val="nil"/>
          <w:right w:val="nil"/>
          <w:insideH w:val="nil"/>
          <w:insideV w:val="nil"/>
        </w:tblBorders>
        <w:tblLayout w:type="fixed"/>
        <w:tblCellMar>
          <w:top w:w="55" w:type="dxa"/>
          <w:left w:w="80" w:type="dxa"/>
          <w:bottom w:w="55" w:type="dxa"/>
          <w:right w:w="80" w:type="dxa"/>
        </w:tblCellMar>
        <w:tblLayout w:type="fixed"/>
      </w:tblPr>
      <w:tblGrid>
        <w:gridCol w:w="1872"/>
        <w:gridCol w:w="1440"/>
        <w:gridCol w:w="1224"/>
        <w:gridCol w:w="1512"/>
        <w:gridCol w:w="1368"/>
        <w:gridCol w:w="1440"/>
        <w:gridCol w:w="1368"/>
      </w:tblGrid>
      <w:tr>
        <w:tc>
          <w:tcPr>
            <w:tcW w:type="dxa" w:w="1872"/>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Channel</w:t>
            </w:r>
          </w:p>
        </w:tc>
        <w:tc>
          <w:tcPr>
            <w:tcW w:type="dxa" w:w="1440"/>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Followers</w:t>
            </w:r>
          </w:p>
        </w:tc>
        <w:tc>
          <w:tcPr>
            <w:tcW w:type="dxa" w:w="1224"/>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Growth</w:t>
            </w:r>
          </w:p>
        </w:tc>
        <w:tc>
          <w:tcPr>
            <w:tcW w:type="dxa" w:w="1512"/>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Reach</w:t>
            </w:r>
          </w:p>
        </w:tc>
        <w:tc>
          <w:tcPr>
            <w:tcW w:type="dxa" w:w="1368"/>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Eng. rate</w:t>
            </w:r>
          </w:p>
        </w:tc>
        <w:tc>
          <w:tcPr>
            <w:tcW w:type="dxa" w:w="1440"/>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Link clicks</w:t>
            </w:r>
          </w:p>
        </w:tc>
        <w:tc>
          <w:tcPr>
            <w:tcW w:type="dxa" w:w="1368"/>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Conversions</w:t>
            </w:r>
          </w:p>
        </w:tc>
      </w:tr>
      <w:tr>
        <w:tc>
          <w:tcPr>
            <w:tcW w:type="dxa" w:w="1872"/>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Instagram</w:t>
            </w:r>
          </w:p>
        </w:tc>
        <w:tc>
          <w:tcPr>
            <w:tcW w:type="dxa" w:w="144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19,105</w:t>
            </w:r>
          </w:p>
        </w:tc>
        <w:tc>
          <w:tcPr>
            <w:tcW w:type="dxa" w:w="1224"/>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+3.7%</w:t>
            </w:r>
          </w:p>
        </w:tc>
        <w:tc>
          <w:tcPr>
            <w:tcW w:type="dxa" w:w="1512"/>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96,300</w:t>
            </w:r>
          </w:p>
        </w:tc>
        <w:tc>
          <w:tcPr>
            <w:tcW w:type="dxa" w:w="136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7.60%</w:t>
            </w:r>
          </w:p>
        </w:tc>
        <w:tc>
          <w:tcPr>
            <w:tcW w:type="dxa" w:w="144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1,840</w:t>
            </w:r>
          </w:p>
        </w:tc>
        <w:tc>
          <w:tcPr>
            <w:tcW w:type="dxa" w:w="1368"/>
            <w:vAlign w:val="center"/>
            <w:tcBorders>
              <w:bottom w:val="single" w:sz="4" w:color="D5DEE1"/>
            </w:tcBorders>
            <w:shd w:val="clear" w:color="auto" w:fill="F4F6F7"/>
          </w:tcPr>
          <w:p>
            <w:pPr>
              <w:spacing w:after="0" w:before="0" w:line="240" w:lineRule="auto"/>
              <w:jc w:val="center"/>
            </w:pPr>
            <w:r/>
            <w:r>
              <w:rPr>
                <w:rFonts w:ascii="Aptos" w:hAnsi="Aptos" w:eastAsia="Aptos" w:cs="Aptos"/>
                <w:b/>
                <w:i w:val="0"/>
                <w:color w:val="E0457B"/>
                <w:sz w:val="19"/>
              </w:rPr>
              <w:t>64</w:t>
            </w:r>
          </w:p>
        </w:tc>
      </w:tr>
      <w:tr>
        <w:tc>
          <w:tcPr>
            <w:tcW w:type="dxa" w:w="1872"/>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TikTok</w:t>
            </w:r>
          </w:p>
        </w:tc>
        <w:tc>
          <w:tcPr>
            <w:tcW w:type="dxa" w:w="144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11,240</w:t>
            </w:r>
          </w:p>
        </w:tc>
        <w:tc>
          <w:tcPr>
            <w:tcW w:type="dxa" w:w="1224"/>
            <w:vAlign w:val="center"/>
            <w:tcBorders>
              <w:bottom w:val="single" w:sz="4" w:color="D5DEE1"/>
            </w:tcBorders>
          </w:tcPr>
          <w:p>
            <w:pPr>
              <w:spacing w:after="0" w:before="0" w:line="240" w:lineRule="auto"/>
              <w:jc w:val="center"/>
            </w:pPr>
            <w:r/>
            <w:r>
              <w:rPr>
                <w:rFonts w:ascii="Aptos" w:hAnsi="Aptos" w:eastAsia="Aptos" w:cs="Aptos"/>
                <w:b/>
                <w:i w:val="0"/>
                <w:color w:val="E0457B"/>
                <w:sz w:val="19"/>
              </w:rPr>
              <w:t>+14.0%</w:t>
            </w:r>
          </w:p>
        </w:tc>
        <w:tc>
          <w:tcPr>
            <w:tcW w:type="dxa" w:w="1512"/>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251,400</w:t>
            </w:r>
          </w:p>
        </w:tc>
        <w:tc>
          <w:tcPr>
            <w:tcW w:type="dxa" w:w="1368"/>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7.54%</w:t>
            </w:r>
          </w:p>
        </w:tc>
        <w:tc>
          <w:tcPr>
            <w:tcW w:type="dxa" w:w="144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920</w:t>
            </w:r>
          </w:p>
        </w:tc>
        <w:tc>
          <w:tcPr>
            <w:tcW w:type="dxa" w:w="1368"/>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31</w:t>
            </w:r>
          </w:p>
        </w:tc>
      </w:tr>
      <w:tr>
        <w:tc>
          <w:tcPr>
            <w:tcW w:type="dxa" w:w="1872"/>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Facebook</w:t>
            </w:r>
          </w:p>
        </w:tc>
        <w:tc>
          <w:tcPr>
            <w:tcW w:type="dxa" w:w="144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12,190</w:t>
            </w:r>
          </w:p>
        </w:tc>
        <w:tc>
          <w:tcPr>
            <w:tcW w:type="dxa" w:w="1224"/>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+0.3%</w:t>
            </w:r>
          </w:p>
        </w:tc>
        <w:tc>
          <w:tcPr>
            <w:tcW w:type="dxa" w:w="1512"/>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41,800</w:t>
            </w:r>
          </w:p>
        </w:tc>
        <w:tc>
          <w:tcPr>
            <w:tcW w:type="dxa" w:w="136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3.49%</w:t>
            </w:r>
          </w:p>
        </w:tc>
        <w:tc>
          <w:tcPr>
            <w:tcW w:type="dxa" w:w="144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1,120</w:t>
            </w:r>
          </w:p>
        </w:tc>
        <w:tc>
          <w:tcPr>
            <w:tcW w:type="dxa" w:w="136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38</w:t>
            </w:r>
          </w:p>
        </w:tc>
      </w:tr>
      <w:tr>
        <w:tc>
          <w:tcPr>
            <w:tcW w:type="dxa" w:w="1872"/>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LinkedIn</w:t>
            </w:r>
          </w:p>
        </w:tc>
        <w:tc>
          <w:tcPr>
            <w:tcW w:type="dxa" w:w="144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2,395</w:t>
            </w:r>
          </w:p>
        </w:tc>
        <w:tc>
          <w:tcPr>
            <w:tcW w:type="dxa" w:w="1224"/>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+3.7%</w:t>
            </w:r>
          </w:p>
        </w:tc>
        <w:tc>
          <w:tcPr>
            <w:tcW w:type="dxa" w:w="1512"/>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8,700</w:t>
            </w:r>
          </w:p>
        </w:tc>
        <w:tc>
          <w:tcPr>
            <w:tcW w:type="dxa" w:w="1368"/>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7.01%</w:t>
            </w:r>
          </w:p>
        </w:tc>
        <w:tc>
          <w:tcPr>
            <w:tcW w:type="dxa" w:w="144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410</w:t>
            </w:r>
          </w:p>
        </w:tc>
        <w:tc>
          <w:tcPr>
            <w:tcW w:type="dxa" w:w="1368"/>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6</w:t>
            </w:r>
          </w:p>
        </w:tc>
      </w:tr>
      <w:tr>
        <w:tc>
          <w:tcPr>
            <w:tcW w:type="dxa" w:w="1872"/>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YouTube</w:t>
            </w:r>
          </w:p>
        </w:tc>
        <w:tc>
          <w:tcPr>
            <w:tcW w:type="dxa" w:w="144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3,180</w:t>
            </w:r>
          </w:p>
        </w:tc>
        <w:tc>
          <w:tcPr>
            <w:tcW w:type="dxa" w:w="1224"/>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+4.6%</w:t>
            </w:r>
          </w:p>
        </w:tc>
        <w:tc>
          <w:tcPr>
            <w:tcW w:type="dxa" w:w="1512"/>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22,600</w:t>
            </w:r>
          </w:p>
        </w:tc>
        <w:tc>
          <w:tcPr>
            <w:tcW w:type="dxa" w:w="136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5.49%</w:t>
            </w:r>
          </w:p>
        </w:tc>
        <w:tc>
          <w:tcPr>
            <w:tcW w:type="dxa" w:w="144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260</w:t>
            </w:r>
          </w:p>
        </w:tc>
        <w:tc>
          <w:tcPr>
            <w:tcW w:type="dxa" w:w="136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9</w:t>
            </w:r>
          </w:p>
        </w:tc>
      </w:tr>
      <w:tr>
        <w:tc>
          <w:tcPr>
            <w:tcW w:type="dxa" w:w="1872"/>
            <w:vAlign w:val="center"/>
            <w:shd w:val="clear" w:color="auto" w:fill="E6F2F2"/>
            <w:tcBorders>
              <w:top w:val="single" w:sz="12" w:color="0B4F5C"/>
            </w:tcBorders>
          </w:tcPr>
          <w:p>
            <w:pPr>
              <w:spacing w:after="0" w:before="0" w:line="240" w:lineRule="auto"/>
              <w:jc w:val="left"/>
            </w:pPr>
            <w:r/>
            <w:r>
              <w:rPr>
                <w:rFonts w:ascii="Aptos" w:hAnsi="Aptos" w:eastAsia="Aptos" w:cs="Aptos"/>
                <w:b/>
                <w:i w:val="0"/>
                <w:color w:val="0B4F5C"/>
                <w:sz w:val="19"/>
              </w:rPr>
              <w:t>All channels</w:t>
            </w:r>
          </w:p>
        </w:tc>
        <w:tc>
          <w:tcPr>
            <w:tcW w:type="dxa" w:w="1440"/>
            <w:vAlign w:val="center"/>
            <w:shd w:val="clear" w:color="auto" w:fill="E6F2F2"/>
            <w:tcBorders>
              <w:top w:val="single" w:sz="12" w:color="0B4F5C"/>
            </w:tcBorders>
          </w:tcPr>
          <w:p>
            <w:pPr>
              <w:spacing w:after="0" w:before="0" w:line="240" w:lineRule="auto"/>
              <w:jc w:val="center"/>
            </w:pPr>
            <w:r/>
            <w:r>
              <w:rPr>
                <w:rFonts w:ascii="Aptos" w:hAnsi="Aptos" w:eastAsia="Aptos" w:cs="Aptos"/>
                <w:b/>
                <w:i w:val="0"/>
                <w:color w:val="0B4F5C"/>
                <w:sz w:val="19"/>
              </w:rPr>
              <w:t>48,110</w:t>
            </w:r>
          </w:p>
        </w:tc>
        <w:tc>
          <w:tcPr>
            <w:tcW w:type="dxa" w:w="1224"/>
            <w:vAlign w:val="center"/>
            <w:shd w:val="clear" w:color="auto" w:fill="E6F2F2"/>
            <w:tcBorders>
              <w:top w:val="single" w:sz="12" w:color="0B4F5C"/>
            </w:tcBorders>
          </w:tcPr>
          <w:p>
            <w:pPr>
              <w:spacing w:after="0" w:before="0" w:line="240" w:lineRule="auto"/>
              <w:jc w:val="center"/>
            </w:pPr>
            <w:r/>
            <w:r>
              <w:rPr>
                <w:rFonts w:ascii="Aptos" w:hAnsi="Aptos" w:eastAsia="Aptos" w:cs="Aptos"/>
                <w:b/>
                <w:i w:val="0"/>
                <w:color w:val="0B4F5C"/>
                <w:sz w:val="19"/>
              </w:rPr>
              <w:t>+5.1%</w:t>
            </w:r>
          </w:p>
        </w:tc>
        <w:tc>
          <w:tcPr>
            <w:tcW w:type="dxa" w:w="1512"/>
            <w:vAlign w:val="center"/>
            <w:shd w:val="clear" w:color="auto" w:fill="E6F2F2"/>
            <w:tcBorders>
              <w:top w:val="single" w:sz="12" w:color="0B4F5C"/>
            </w:tcBorders>
          </w:tcPr>
          <w:p>
            <w:pPr>
              <w:spacing w:after="0" w:before="0" w:line="240" w:lineRule="auto"/>
              <w:jc w:val="center"/>
            </w:pPr>
            <w:r/>
            <w:r>
              <w:rPr>
                <w:rFonts w:ascii="Aptos" w:hAnsi="Aptos" w:eastAsia="Aptos" w:cs="Aptos"/>
                <w:b/>
                <w:i w:val="0"/>
                <w:color w:val="0B4F5C"/>
                <w:sz w:val="19"/>
              </w:rPr>
              <w:t>420,800</w:t>
            </w:r>
          </w:p>
        </w:tc>
        <w:tc>
          <w:tcPr>
            <w:tcW w:type="dxa" w:w="1368"/>
            <w:vAlign w:val="center"/>
            <w:shd w:val="clear" w:color="auto" w:fill="E6F2F2"/>
            <w:tcBorders>
              <w:top w:val="single" w:sz="12" w:color="0B4F5C"/>
            </w:tcBorders>
          </w:tcPr>
          <w:p>
            <w:pPr>
              <w:spacing w:after="0" w:before="0" w:line="240" w:lineRule="auto"/>
              <w:jc w:val="center"/>
            </w:pPr>
            <w:r/>
            <w:r>
              <w:rPr>
                <w:rFonts w:ascii="Aptos" w:hAnsi="Aptos" w:eastAsia="Aptos" w:cs="Aptos"/>
                <w:b/>
                <w:i w:val="0"/>
                <w:color w:val="0B4F5C"/>
                <w:sz w:val="19"/>
              </w:rPr>
              <w:t>7.03%</w:t>
            </w:r>
          </w:p>
        </w:tc>
        <w:tc>
          <w:tcPr>
            <w:tcW w:type="dxa" w:w="1440"/>
            <w:vAlign w:val="center"/>
            <w:shd w:val="clear" w:color="auto" w:fill="E6F2F2"/>
            <w:tcBorders>
              <w:top w:val="single" w:sz="12" w:color="0B4F5C"/>
            </w:tcBorders>
          </w:tcPr>
          <w:p>
            <w:pPr>
              <w:spacing w:after="0" w:before="0" w:line="240" w:lineRule="auto"/>
              <w:jc w:val="center"/>
            </w:pPr>
            <w:r/>
            <w:r>
              <w:rPr>
                <w:rFonts w:ascii="Aptos" w:hAnsi="Aptos" w:eastAsia="Aptos" w:cs="Aptos"/>
                <w:b/>
                <w:i w:val="0"/>
                <w:color w:val="0B4F5C"/>
                <w:sz w:val="19"/>
              </w:rPr>
              <w:t>4,550</w:t>
            </w:r>
          </w:p>
        </w:tc>
        <w:tc>
          <w:tcPr>
            <w:tcW w:type="dxa" w:w="1368"/>
            <w:vAlign w:val="center"/>
            <w:shd w:val="clear" w:color="auto" w:fill="E6F2F2"/>
            <w:tcBorders>
              <w:top w:val="single" w:sz="12" w:color="0B4F5C"/>
            </w:tcBorders>
          </w:tcPr>
          <w:p>
            <w:pPr>
              <w:spacing w:after="0" w:before="0" w:line="240" w:lineRule="auto"/>
              <w:jc w:val="center"/>
            </w:pPr>
            <w:r/>
            <w:r>
              <w:rPr>
                <w:rFonts w:ascii="Aptos" w:hAnsi="Aptos" w:eastAsia="Aptos" w:cs="Aptos"/>
                <w:b/>
                <w:i w:val="0"/>
                <w:color w:val="0B4F5C"/>
                <w:sz w:val="19"/>
              </w:rPr>
              <w:t>148</w:t>
            </w:r>
          </w:p>
        </w:tc>
      </w:tr>
    </w:tbl>
    <w:p>
      <w:pPr>
        <w:spacing w:before="80" w:after="100"/>
        <w:jc w:val="left"/>
      </w:pPr>
      <w:r>
        <w:rPr>
          <w:rFonts w:ascii="Aptos" w:hAnsi="Aptos" w:eastAsia="Aptos" w:cs="Aptos"/>
          <w:b w:val="0"/>
          <w:i/>
          <w:color w:val="6B7A80"/>
          <w:sz w:val="15"/>
        </w:rPr>
        <w:t>Engagement rate = engagements ÷ reach. Conversions are web orders and wholesale inquiries tracked with UTM links.</w:t>
      </w:r>
    </w:p>
    <w:p>
      <w:pPr>
        <w:keepNext/>
        <w:pageBreakBefore w:val="0"/>
        <w:spacing w:before="260" w:after="0"/>
      </w:pPr>
      <w:r>
        <w:rPr>
          <w:rFonts w:ascii="Century Gothic" w:hAnsi="Century Gothic" w:eastAsia="Century Gothic" w:cs="Century Gothic"/>
          <w:b/>
          <w:color w:val="E0457B"/>
          <w:sz w:val="15"/>
        </w:rPr>
        <w:t>WHAT WORKED</w:t>
      </w:r>
    </w:p>
    <w:p>
      <w:pPr>
        <w:keepNext/>
        <w:spacing w:after="120"/>
      </w:pPr>
      <w:r>
        <w:rPr>
          <w:rFonts w:ascii="Century Gothic" w:hAnsi="Century Gothic" w:eastAsia="Century Gothic" w:cs="Century Gothic"/>
          <w:b/>
          <w:color w:val="0B4F5C"/>
          <w:sz w:val="28"/>
        </w:rPr>
        <w:t>Wins worth repeating</w:t>
      </w:r>
    </w:p>
    <w:p>
      <w:pPr>
        <w:pStyle w:val="ListBullet"/>
        <w:spacing w:after="60"/>
      </w:pPr>
      <w:r>
        <w:rPr>
          <w:b/>
          <w:color w:val="0B4F5C"/>
        </w:rPr>
        <w:t xml:space="preserve">Behind-the-roaster video. </w:t>
      </w:r>
      <w:r>
        <w:t>“Roaster cam: first crack” reached 88,400 on TikTok with an 8.2% engagement rate. Raw, unedited, 22 seconds. We will make this a weekly series.</w:t>
      </w:r>
    </w:p>
    <w:p>
      <w:pPr>
        <w:pStyle w:val="ListBullet"/>
        <w:spacing w:after="60"/>
      </w:pPr>
      <w:r>
        <w:rPr>
          <w:b/>
          <w:color w:val="0B4F5C"/>
        </w:rPr>
        <w:t xml:space="preserve">Useful carousels. </w:t>
      </w:r>
      <w:r>
        <w:t>The pour-over carousel had the best engagement rate of our top five (10.6%) and drove 410 link clicks, more than any other post.</w:t>
      </w:r>
    </w:p>
    <w:p>
      <w:pPr>
        <w:pStyle w:val="ListBullet"/>
        <w:spacing w:after="60"/>
      </w:pPr>
      <w:r>
        <w:rPr>
          <w:b/>
          <w:color w:val="0B4F5C"/>
        </w:rPr>
        <w:t xml:space="preserve">Seasonal without syrup. </w:t>
      </w:r>
      <w:r>
        <w:t>The pumpkin cold foam Reel brought 385 clicks to the recipe page and was saved more than any post since June.</w:t>
      </w:r>
    </w:p>
    <w:p>
      <w:pPr>
        <w:keepNext/>
        <w:pageBreakBefore w:val="0"/>
        <w:spacing w:before="260" w:after="0"/>
      </w:pPr>
      <w:r>
        <w:rPr>
          <w:rFonts w:ascii="Century Gothic" w:hAnsi="Century Gothic" w:eastAsia="Century Gothic" w:cs="Century Gothic"/>
          <w:b/>
          <w:color w:val="E0457B"/>
          <w:sz w:val="15"/>
        </w:rPr>
        <w:t>TOP POSTS</w:t>
      </w:r>
    </w:p>
    <w:p>
      <w:pPr>
        <w:keepNext/>
        <w:spacing w:after="120"/>
      </w:pPr>
      <w:r>
        <w:rPr>
          <w:rFonts w:ascii="Century Gothic" w:hAnsi="Century Gothic" w:eastAsia="Century Gothic" w:cs="Century Gothic"/>
          <w:b/>
          <w:color w:val="0B4F5C"/>
          <w:sz w:val="28"/>
        </w:rPr>
        <w:t>Top five posts by engagements</w:t>
      </w:r>
    </w:p>
    <w:tbl>
      <w:tblPr>
        <w:tblW w:type="auto" w:w="0"/>
        <w:tblLook w:firstColumn="1" w:firstRow="1" w:lastColumn="0" w:lastRow="0" w:noHBand="0" w:noVBand="1" w:val="04A0"/>
        <w:jc w:val="center"/>
        <w:tblBorders>
          <w:top w:val="nil"/>
          <w:left w:val="nil"/>
          <w:bottom w:val="nil"/>
          <w:right w:val="nil"/>
          <w:insideH w:val="nil"/>
          <w:insideV w:val="nil"/>
        </w:tblBorders>
        <w:tblLayout w:type="fixed"/>
        <w:tblCellMar>
          <w:top w:w="55" w:type="dxa"/>
          <w:left w:w="80" w:type="dxa"/>
          <w:bottom w:w="55" w:type="dxa"/>
          <w:right w:w="80" w:type="dxa"/>
        </w:tblCellMar>
        <w:tblLayout w:type="fixed"/>
      </w:tblPr>
      <w:tblGrid>
        <w:gridCol w:w="936"/>
        <w:gridCol w:w="1224"/>
        <w:gridCol w:w="3744"/>
        <w:gridCol w:w="1152"/>
        <w:gridCol w:w="1007"/>
        <w:gridCol w:w="1080"/>
        <w:gridCol w:w="1080"/>
      </w:tblGrid>
      <w:tr>
        <w:tc>
          <w:tcPr>
            <w:tcW w:type="dxa" w:w="936"/>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Date</w:t>
            </w:r>
          </w:p>
        </w:tc>
        <w:tc>
          <w:tcPr>
            <w:tcW w:type="dxa" w:w="1224"/>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Channel</w:t>
            </w:r>
          </w:p>
        </w:tc>
        <w:tc>
          <w:tcPr>
            <w:tcW w:type="dxa" w:w="3744"/>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Post</w:t>
            </w:r>
          </w:p>
        </w:tc>
        <w:tc>
          <w:tcPr>
            <w:tcW w:type="dxa" w:w="1152"/>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Reach</w:t>
            </w:r>
          </w:p>
        </w:tc>
        <w:tc>
          <w:tcPr>
            <w:tcW w:type="dxa" w:w="1008"/>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Eng.</w:t>
            </w:r>
          </w:p>
        </w:tc>
        <w:tc>
          <w:tcPr>
            <w:tcW w:type="dxa" w:w="1080"/>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Eng. rate</w:t>
            </w:r>
          </w:p>
        </w:tc>
        <w:tc>
          <w:tcPr>
            <w:tcW w:type="dxa" w:w="1080"/>
            <w:vAlign w:val="center"/>
            <w:shd w:val="clear" w:color="auto" w:fill="13707F"/>
          </w:tcPr>
          <w:p>
            <w:pPr>
              <w:spacing w:after="0" w:before="0" w:line="240" w:lineRule="auto"/>
              <w:jc w:val="center"/>
            </w:pPr>
            <w:r/>
            <w:r>
              <w:rPr>
                <w:rFonts w:ascii="Century Gothic" w:hAnsi="Century Gothic" w:eastAsia="Century Gothic" w:cs="Century Gothic"/>
                <w:b/>
                <w:i w:val="0"/>
                <w:color w:val="FFFFFF"/>
                <w:sz w:val="16"/>
              </w:rPr>
              <w:t>Clicks</w:t>
            </w:r>
          </w:p>
        </w:tc>
      </w:tr>
      <w:tr>
        <w:tc>
          <w:tcPr>
            <w:tcW w:type="dxa" w:w="936"/>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Sep 12</w:t>
            </w:r>
          </w:p>
        </w:tc>
        <w:tc>
          <w:tcPr>
            <w:tcW w:type="dxa" w:w="1224"/>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TikTok</w:t>
            </w:r>
          </w:p>
        </w:tc>
        <w:tc>
          <w:tcPr>
            <w:tcW w:type="dxa" w:w="3744"/>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Roaster cam: first crack on the new Guatemala lot</w:t>
            </w:r>
          </w:p>
        </w:tc>
        <w:tc>
          <w:tcPr>
            <w:tcW w:type="dxa" w:w="1152"/>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88,400</w:t>
            </w:r>
          </w:p>
        </w:tc>
        <w:tc>
          <w:tcPr>
            <w:tcW w:type="dxa" w:w="100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7,210</w:t>
            </w:r>
          </w:p>
        </w:tc>
        <w:tc>
          <w:tcPr>
            <w:tcW w:type="dxa" w:w="108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8.2%</w:t>
            </w:r>
          </w:p>
        </w:tc>
        <w:tc>
          <w:tcPr>
            <w:tcW w:type="dxa" w:w="108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140</w:t>
            </w:r>
          </w:p>
        </w:tc>
      </w:tr>
      <w:tr>
        <w:tc>
          <w:tcPr>
            <w:tcW w:type="dxa" w:w="936"/>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Sep 19</w:t>
            </w:r>
          </w:p>
        </w:tc>
        <w:tc>
          <w:tcPr>
            <w:tcW w:type="dxa" w:w="1224"/>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TikTok</w:t>
            </w:r>
          </w:p>
        </w:tc>
        <w:tc>
          <w:tcPr>
            <w:tcW w:type="dxa" w:w="3744"/>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Barista tries to tell decaf from regular blind</w:t>
            </w:r>
          </w:p>
        </w:tc>
        <w:tc>
          <w:tcPr>
            <w:tcW w:type="dxa" w:w="1152"/>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61,200</w:t>
            </w:r>
          </w:p>
        </w:tc>
        <w:tc>
          <w:tcPr>
            <w:tcW w:type="dxa" w:w="1008"/>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4,870</w:t>
            </w:r>
          </w:p>
        </w:tc>
        <w:tc>
          <w:tcPr>
            <w:tcW w:type="dxa" w:w="108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8.0%</w:t>
            </w:r>
          </w:p>
        </w:tc>
        <w:tc>
          <w:tcPr>
            <w:tcW w:type="dxa" w:w="108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96</w:t>
            </w:r>
          </w:p>
        </w:tc>
      </w:tr>
      <w:tr>
        <w:tc>
          <w:tcPr>
            <w:tcW w:type="dxa" w:w="936"/>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Sep 5</w:t>
            </w:r>
          </w:p>
        </w:tc>
        <w:tc>
          <w:tcPr>
            <w:tcW w:type="dxa" w:w="1224"/>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Instagram</w:t>
            </w:r>
          </w:p>
        </w:tc>
        <w:tc>
          <w:tcPr>
            <w:tcW w:type="dxa" w:w="3744"/>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5 ways to dial in pour-over at home</w:t>
            </w:r>
          </w:p>
        </w:tc>
        <w:tc>
          <w:tcPr>
            <w:tcW w:type="dxa" w:w="1152"/>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24,900</w:t>
            </w:r>
          </w:p>
        </w:tc>
        <w:tc>
          <w:tcPr>
            <w:tcW w:type="dxa" w:w="100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2,630</w:t>
            </w:r>
          </w:p>
        </w:tc>
        <w:tc>
          <w:tcPr>
            <w:tcW w:type="dxa" w:w="108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10.6%</w:t>
            </w:r>
          </w:p>
        </w:tc>
        <w:tc>
          <w:tcPr>
            <w:tcW w:type="dxa" w:w="108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410</w:t>
            </w:r>
          </w:p>
        </w:tc>
      </w:tr>
      <w:tr>
        <w:tc>
          <w:tcPr>
            <w:tcW w:type="dxa" w:w="936"/>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Sep 24</w:t>
            </w:r>
          </w:p>
        </w:tc>
        <w:tc>
          <w:tcPr>
            <w:tcW w:type="dxa" w:w="1224"/>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Instagram</w:t>
            </w:r>
          </w:p>
        </w:tc>
        <w:tc>
          <w:tcPr>
            <w:tcW w:type="dxa" w:w="3744"/>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Pumpkin cold foam, made without syrup</w:t>
            </w:r>
          </w:p>
        </w:tc>
        <w:tc>
          <w:tcPr>
            <w:tcW w:type="dxa" w:w="1152"/>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31,800</w:t>
            </w:r>
          </w:p>
        </w:tc>
        <w:tc>
          <w:tcPr>
            <w:tcW w:type="dxa" w:w="1008"/>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2,190</w:t>
            </w:r>
          </w:p>
        </w:tc>
        <w:tc>
          <w:tcPr>
            <w:tcW w:type="dxa" w:w="108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6.9%</w:t>
            </w:r>
          </w:p>
        </w:tc>
        <w:tc>
          <w:tcPr>
            <w:tcW w:type="dxa" w:w="1080"/>
            <w:vAlign w:val="center"/>
            <w:tcBorders>
              <w:bottom w:val="single" w:sz="4" w:color="D5DEE1"/>
            </w:tcBorders>
          </w:tcPr>
          <w:p>
            <w:pPr>
              <w:spacing w:after="0" w:before="0" w:line="240" w:lineRule="auto"/>
              <w:jc w:val="center"/>
            </w:pPr>
            <w:r/>
            <w:r>
              <w:rPr>
                <w:rFonts w:ascii="Aptos" w:hAnsi="Aptos" w:eastAsia="Aptos" w:cs="Aptos"/>
                <w:b w:val="0"/>
                <w:i w:val="0"/>
                <w:color w:val="1F2A30"/>
                <w:sz w:val="19"/>
              </w:rPr>
              <w:t>385</w:t>
            </w:r>
          </w:p>
        </w:tc>
      </w:tr>
      <w:tr>
        <w:tc>
          <w:tcPr>
            <w:tcW w:type="dxa" w:w="936"/>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Sep 9</w:t>
            </w:r>
          </w:p>
        </w:tc>
        <w:tc>
          <w:tcPr>
            <w:tcW w:type="dxa" w:w="1224"/>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YouTube</w:t>
            </w:r>
          </w:p>
        </w:tc>
        <w:tc>
          <w:tcPr>
            <w:tcW w:type="dxa" w:w="3744"/>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How we pick a green coffee lot (12 min)</w:t>
            </w:r>
          </w:p>
        </w:tc>
        <w:tc>
          <w:tcPr>
            <w:tcW w:type="dxa" w:w="1152"/>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9,800</w:t>
            </w:r>
          </w:p>
        </w:tc>
        <w:tc>
          <w:tcPr>
            <w:tcW w:type="dxa" w:w="1008"/>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640</w:t>
            </w:r>
          </w:p>
        </w:tc>
        <w:tc>
          <w:tcPr>
            <w:tcW w:type="dxa" w:w="108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6.5%</w:t>
            </w:r>
          </w:p>
        </w:tc>
        <w:tc>
          <w:tcPr>
            <w:tcW w:type="dxa" w:w="1080"/>
            <w:vAlign w:val="center"/>
            <w:tcBorders>
              <w:bottom w:val="single" w:sz="4" w:color="D5DEE1"/>
            </w:tcBorders>
            <w:shd w:val="clear" w:color="auto" w:fill="F4F6F7"/>
          </w:tcPr>
          <w:p>
            <w:pPr>
              <w:spacing w:after="0" w:before="0" w:line="240" w:lineRule="auto"/>
              <w:jc w:val="center"/>
            </w:pPr>
            <w:r/>
            <w:r>
              <w:rPr>
                <w:rFonts w:ascii="Aptos" w:hAnsi="Aptos" w:eastAsia="Aptos" w:cs="Aptos"/>
                <w:b w:val="0"/>
                <w:i w:val="0"/>
                <w:color w:val="1F2A30"/>
                <w:sz w:val="19"/>
              </w:rPr>
              <w:t>118</w:t>
            </w:r>
          </w:p>
        </w:tc>
      </w:tr>
    </w:tbl>
    <w:p>
      <w:pPr>
        <w:keepNext/>
        <w:pageBreakBefore w:val="0"/>
        <w:spacing w:before="260" w:after="0"/>
      </w:pPr>
      <w:r>
        <w:rPr>
          <w:rFonts w:ascii="Century Gothic" w:hAnsi="Century Gothic" w:eastAsia="Century Gothic" w:cs="Century Gothic"/>
          <w:b/>
          <w:color w:val="E0457B"/>
          <w:sz w:val="15"/>
        </w:rPr>
        <w:t>WHAT DID NOT</w:t>
      </w:r>
    </w:p>
    <w:p>
      <w:pPr>
        <w:keepNext/>
        <w:spacing w:after="120"/>
      </w:pPr>
      <w:r>
        <w:rPr>
          <w:rFonts w:ascii="Century Gothic" w:hAnsi="Century Gothic" w:eastAsia="Century Gothic" w:cs="Century Gothic"/>
          <w:b/>
          <w:color w:val="0B4F5C"/>
          <w:sz w:val="28"/>
        </w:rPr>
        <w:t>Misses and what we learned</w:t>
      </w:r>
    </w:p>
    <w:p>
      <w:pPr>
        <w:pStyle w:val="ListBullet"/>
        <w:spacing w:after="60"/>
      </w:pPr>
      <w:r>
        <w:rPr>
          <w:b/>
          <w:color w:val="0B4F5C"/>
        </w:rPr>
        <w:t xml:space="preserve">Facebook is flat. </w:t>
      </w:r>
      <w:r>
        <w:t>+40 followers and a 3.5% engagement rate. It still sends clicks (1,120), so we keep it for links and events and stop making original content for it.</w:t>
      </w:r>
    </w:p>
    <w:p>
      <w:pPr>
        <w:pStyle w:val="ListBullet"/>
        <w:spacing w:after="60"/>
      </w:pPr>
      <w:r>
        <w:rPr>
          <w:b/>
          <w:color w:val="0B4F5C"/>
        </w:rPr>
        <w:t xml:space="preserve">TikTok does not click. </w:t>
      </w:r>
      <w:r>
        <w:t>251,400 reached, but only 920 link clicks (0.24% click-through). Fine for awareness; we should not judge it on sales.</w:t>
      </w:r>
    </w:p>
    <w:p>
      <w:pPr>
        <w:pStyle w:val="ListBullet"/>
        <w:spacing w:after="60"/>
      </w:pPr>
      <w:r>
        <w:rPr>
          <w:b/>
          <w:color w:val="0B4F5C"/>
        </w:rPr>
        <w:t xml:space="preserve">Paid spend crept up. </w:t>
      </w:r>
      <w:r>
        <w:t>$1,050 vs $900 in August, or $7.09 of ad spend per conversion overall. Fine, but Facebook ran at $11.84 per conversion against $9.38 on Instagram.</w:t>
      </w:r>
    </w:p>
    <w:p>
      <w:pPr>
        <w:keepNext/>
        <w:pageBreakBefore w:val="0"/>
        <w:spacing w:before="260" w:after="0"/>
      </w:pPr>
      <w:r>
        <w:rPr>
          <w:rFonts w:ascii="Century Gothic" w:hAnsi="Century Gothic" w:eastAsia="Century Gothic" w:cs="Century Gothic"/>
          <w:b/>
          <w:color w:val="E0457B"/>
          <w:sz w:val="15"/>
        </w:rPr>
        <w:t>NEXT MONTH</w:t>
      </w:r>
    </w:p>
    <w:p>
      <w:pPr>
        <w:keepNext/>
        <w:spacing w:after="120"/>
      </w:pPr>
      <w:r>
        <w:rPr>
          <w:rFonts w:ascii="Century Gothic" w:hAnsi="Century Gothic" w:eastAsia="Century Gothic" w:cs="Century Gothic"/>
          <w:b/>
          <w:color w:val="0B4F5C"/>
          <w:sz w:val="28"/>
        </w:rPr>
        <w:t>October plan</w:t>
      </w:r>
    </w:p>
    <w:tbl>
      <w:tblPr>
        <w:tblW w:type="auto" w:w="0"/>
        <w:tblLook w:firstColumn="1" w:firstRow="1" w:lastColumn="0" w:lastRow="0" w:noHBand="0" w:noVBand="1" w:val="04A0"/>
        <w:jc w:val="center"/>
        <w:tblBorders>
          <w:top w:val="nil"/>
          <w:left w:val="nil"/>
          <w:bottom w:val="nil"/>
          <w:right w:val="nil"/>
          <w:insideH w:val="nil"/>
          <w:insideV w:val="nil"/>
        </w:tblBorders>
        <w:tblLayout w:type="fixed"/>
        <w:tblCellMar>
          <w:top w:w="55" w:type="dxa"/>
          <w:left w:w="80" w:type="dxa"/>
          <w:bottom w:w="55" w:type="dxa"/>
          <w:right w:w="80" w:type="dxa"/>
        </w:tblCellMar>
        <w:tblLayout w:type="fixed"/>
      </w:tblPr>
      <w:tblGrid>
        <w:gridCol w:w="4176"/>
        <w:gridCol w:w="1728"/>
        <w:gridCol w:w="1440"/>
        <w:gridCol w:w="2880"/>
      </w:tblGrid>
      <w:tr>
        <w:tc>
          <w:tcPr>
            <w:tcW w:type="dxa" w:w="4176"/>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What</w:t>
            </w:r>
          </w:p>
        </w:tc>
        <w:tc>
          <w:tcPr>
            <w:tcW w:type="dxa" w:w="1728"/>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Channel</w:t>
            </w:r>
          </w:p>
        </w:tc>
        <w:tc>
          <w:tcPr>
            <w:tcW w:type="dxa" w:w="1440"/>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Owner</w:t>
            </w:r>
          </w:p>
        </w:tc>
        <w:tc>
          <w:tcPr>
            <w:tcW w:type="dxa" w:w="2880"/>
            <w:vAlign w:val="center"/>
            <w:shd w:val="clear" w:color="auto" w:fill="13707F"/>
          </w:tcPr>
          <w:p>
            <w:pPr>
              <w:spacing w:after="0" w:before="0" w:line="240" w:lineRule="auto"/>
              <w:jc w:val="left"/>
            </w:pPr>
            <w:r/>
            <w:r>
              <w:rPr>
                <w:rFonts w:ascii="Century Gothic" w:hAnsi="Century Gothic" w:eastAsia="Century Gothic" w:cs="Century Gothic"/>
                <w:b/>
                <w:i w:val="0"/>
                <w:color w:val="FFFFFF"/>
                <w:sz w:val="16"/>
              </w:rPr>
              <w:t>Goal</w:t>
            </w:r>
          </w:p>
        </w:tc>
      </w:tr>
      <w:tr>
        <w:tc>
          <w:tcPr>
            <w:tcW w:type="dxa" w:w="4176"/>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Weekly roaster-cam series (4 videos)</w:t>
            </w:r>
          </w:p>
        </w:tc>
        <w:tc>
          <w:tcPr>
            <w:tcW w:type="dxa" w:w="1728"/>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TikTok, Reels</w:t>
            </w:r>
          </w:p>
        </w:tc>
        <w:tc>
          <w:tcPr>
            <w:tcW w:type="dxa" w:w="1440"/>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Jess</w:t>
            </w:r>
          </w:p>
        </w:tc>
        <w:tc>
          <w:tcPr>
            <w:tcW w:type="dxa" w:w="2880"/>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Reach 450K total</w:t>
            </w:r>
          </w:p>
        </w:tc>
      </w:tr>
      <w:tr>
        <w:tc>
          <w:tcPr>
            <w:tcW w:type="dxa" w:w="4176"/>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Two how-to carousels with recipe links</w:t>
            </w:r>
          </w:p>
        </w:tc>
        <w:tc>
          <w:tcPr>
            <w:tcW w:type="dxa" w:w="1728"/>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Instagram</w:t>
            </w:r>
          </w:p>
        </w:tc>
        <w:tc>
          <w:tcPr>
            <w:tcW w:type="dxa" w:w="1440"/>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Priya</w:t>
            </w:r>
          </w:p>
        </w:tc>
        <w:tc>
          <w:tcPr>
            <w:tcW w:type="dxa" w:w="2880"/>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5,000 link clicks</w:t>
            </w:r>
          </w:p>
        </w:tc>
      </w:tr>
      <w:tr>
        <w:tc>
          <w:tcPr>
            <w:tcW w:type="dxa" w:w="4176"/>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Holiday gift box teaser + waitlist</w:t>
            </w:r>
          </w:p>
        </w:tc>
        <w:tc>
          <w:tcPr>
            <w:tcW w:type="dxa" w:w="1728"/>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All</w:t>
            </w:r>
          </w:p>
        </w:tc>
        <w:tc>
          <w:tcPr>
            <w:tcW w:type="dxa" w:w="1440"/>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Jess / Sam</w:t>
            </w:r>
          </w:p>
        </w:tc>
        <w:tc>
          <w:tcPr>
            <w:tcW w:type="dxa" w:w="2880"/>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200 waitlist sign-ups</w:t>
            </w:r>
          </w:p>
        </w:tc>
      </w:tr>
      <w:tr>
        <w:tc>
          <w:tcPr>
            <w:tcW w:type="dxa" w:w="4176"/>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Move $150 of Facebook ad budget to Instagram</w:t>
            </w:r>
          </w:p>
        </w:tc>
        <w:tc>
          <w:tcPr>
            <w:tcW w:type="dxa" w:w="1728"/>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Paid</w:t>
            </w:r>
          </w:p>
        </w:tc>
        <w:tc>
          <w:tcPr>
            <w:tcW w:type="dxa" w:w="1440"/>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Sam</w:t>
            </w:r>
          </w:p>
        </w:tc>
        <w:tc>
          <w:tcPr>
            <w:tcW w:type="dxa" w:w="2880"/>
            <w:vAlign w:val="center"/>
            <w:tcBorders>
              <w:bottom w:val="single" w:sz="4" w:color="D5DEE1"/>
            </w:tcBorders>
          </w:tcPr>
          <w:p>
            <w:pPr>
              <w:spacing w:after="0" w:before="0" w:line="240" w:lineRule="auto"/>
              <w:jc w:val="left"/>
            </w:pPr>
            <w:r/>
            <w:r>
              <w:rPr>
                <w:rFonts w:ascii="Aptos" w:hAnsi="Aptos" w:eastAsia="Aptos" w:cs="Aptos"/>
                <w:b w:val="0"/>
                <w:i w:val="0"/>
                <w:color w:val="1F2A30"/>
                <w:sz w:val="19"/>
              </w:rPr>
              <w:t>Cost per conversion under $8</w:t>
            </w:r>
          </w:p>
        </w:tc>
      </w:tr>
      <w:tr>
        <w:tc>
          <w:tcPr>
            <w:tcW w:type="dxa" w:w="4176"/>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Wholesale case study (café partner)</w:t>
            </w:r>
          </w:p>
        </w:tc>
        <w:tc>
          <w:tcPr>
            <w:tcW w:type="dxa" w:w="1728"/>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LinkedIn</w:t>
            </w:r>
          </w:p>
        </w:tc>
        <w:tc>
          <w:tcPr>
            <w:tcW w:type="dxa" w:w="1440"/>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Marco</w:t>
            </w:r>
          </w:p>
        </w:tc>
        <w:tc>
          <w:tcPr>
            <w:tcW w:type="dxa" w:w="2880"/>
            <w:vAlign w:val="center"/>
            <w:tcBorders>
              <w:bottom w:val="single" w:sz="4" w:color="D5DEE1"/>
            </w:tcBorders>
            <w:shd w:val="clear" w:color="auto" w:fill="F4F6F7"/>
          </w:tcPr>
          <w:p>
            <w:pPr>
              <w:spacing w:after="0" w:before="0" w:line="240" w:lineRule="auto"/>
              <w:jc w:val="left"/>
            </w:pPr>
            <w:r/>
            <w:r>
              <w:rPr>
                <w:rFonts w:ascii="Aptos" w:hAnsi="Aptos" w:eastAsia="Aptos" w:cs="Aptos"/>
                <w:b w:val="0"/>
                <w:i w:val="0"/>
                <w:color w:val="1F2A30"/>
                <w:sz w:val="19"/>
              </w:rPr>
              <w:t>10 wholesale inquiries</w:t>
            </w:r>
          </w:p>
        </w:tc>
      </w:tr>
    </w:tbl>
    <w:p>
      <w:pPr>
        <w:keepNext/>
        <w:pageBreakBefore w:val="0"/>
        <w:spacing w:before="260" w:after="0"/>
      </w:pPr>
      <w:r>
        <w:rPr>
          <w:rFonts w:ascii="Century Gothic" w:hAnsi="Century Gothic" w:eastAsia="Century Gothic" w:cs="Century Gothic"/>
          <w:b/>
          <w:color w:val="E0457B"/>
          <w:sz w:val="15"/>
        </w:rPr>
        <w:t>METHOD</w:t>
      </w:r>
    </w:p>
    <w:p>
      <w:pPr>
        <w:keepNext/>
        <w:spacing w:after="120"/>
      </w:pPr>
      <w:r>
        <w:rPr>
          <w:rFonts w:ascii="Century Gothic" w:hAnsi="Century Gothic" w:eastAsia="Century Gothic" w:cs="Century Gothic"/>
          <w:b/>
          <w:color w:val="0B4F5C"/>
          <w:sz w:val="28"/>
        </w:rPr>
        <w:t>How these numbers are measured</w:t>
      </w:r>
    </w:p>
    <w:p>
      <w:pPr>
        <w:pStyle w:val="ListBullet"/>
        <w:spacing w:after="60"/>
      </w:pPr>
      <w:r>
        <w:rPr>
          <w:b/>
          <w:color w:val="0B4F5C"/>
        </w:rPr>
        <w:t xml:space="preserve">Period: </w:t>
      </w:r>
      <w:r>
        <w:t>September 1–30, 2026, pulled from each platform's native analytics on October 1.</w:t>
      </w:r>
    </w:p>
    <w:p>
      <w:pPr>
        <w:pStyle w:val="ListBullet"/>
        <w:spacing w:after="60"/>
      </w:pPr>
      <w:r>
        <w:rPr>
          <w:b/>
          <w:color w:val="0B4F5C"/>
        </w:rPr>
        <w:t xml:space="preserve">Reach </w:t>
      </w:r>
      <w:r>
        <w:t>is unique accounts that saw our content; impressions count every view. Engagement rate uses reach, so it is comparable across channels of different sizes.</w:t>
      </w:r>
    </w:p>
    <w:p>
      <w:pPr>
        <w:pStyle w:val="ListBullet"/>
        <w:spacing w:after="60"/>
      </w:pPr>
      <w:r>
        <w:rPr>
          <w:b/>
          <w:color w:val="0B4F5C"/>
        </w:rPr>
        <w:t xml:space="preserve">Engagements </w:t>
      </w:r>
      <w:r>
        <w:t>are likes, comments, shares, saves and replies. Video views are not counted as engagements.</w:t>
      </w:r>
    </w:p>
    <w:p>
      <w:pPr>
        <w:pStyle w:val="ListBullet"/>
        <w:spacing w:after="60"/>
      </w:pPr>
      <w:r>
        <w:rPr>
          <w:b/>
          <w:color w:val="0B4F5C"/>
        </w:rPr>
        <w:t xml:space="preserve">Conversions </w:t>
      </w:r>
      <w:r>
        <w:t>are web orders and wholesale inquiry forms from UTM-tagged links, as reported in Google Analytics.</w:t>
      </w:r>
    </w:p>
    <w:p>
      <w:pPr>
        <w:spacing w:before="0" w:after="120"/>
        <w:jc w:val="left"/>
      </w:pPr>
    </w:p>
    <w:sectPr w:rsidR="00FC693F" w:rsidRPr="0006063C" w:rsidSect="00034616">
      <w:footerReference w:type="default" r:id="rId9"/>
      <w:pgSz w:w="12240" w:h="15840"/>
      <w:pgMar w:top="720"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right" w:pos="10224"/>
      </w:tabs>
    </w:pPr>
    <w:r>
      <w:rPr>
        <w:color w:val="6B7A80"/>
        <w:sz w:val="15"/>
      </w:rPr>
      <w:t>Ridgeline Coffee Roasters  ·  Social Media Report  ·  September 2026</w:t>
      <w:tab/>
      <w:t xml:space="preserve">Page </w:t>
    </w:r>
    <w:r>
      <w:rPr>
        <w:color w:val="6B7A80"/>
        <w:sz w:val="15"/>
      </w:rPr>
      <w:fldChar w:fldCharType="begin"/>
    </w:r>
    <w:r>
      <w:rPr>
        <w:color w:val="6B7A80"/>
        <w:sz w:val="15"/>
      </w:rPr>
      <w:instrText xml:space="preserve">PAGE</w:instrText>
    </w:r>
    <w:r>
      <w:rPr>
        <w:color w:val="6B7A80"/>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s="Aptos"/>
      <w:color w:val="1F2A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Monthly Report</dc:title>
  <dc:subject/>
  <dc:creator>reportsexcel.com</dc:creator>
  <cp:keywords/>
  <dc:description>generated by python-docx</dc:description>
  <cp:lastModifiedBy/>
  <cp:revision>1</cp:revision>
  <dcterms:created xsi:type="dcterms:W3CDTF">2013-12-23T23:15:00Z</dcterms:created>
  <dcterms:modified xsi:type="dcterms:W3CDTF">2013-12-23T23:15:00Z</dcterms:modified>
  <cp:category/>
</cp:coreProperties>
</file>