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</w:tblGrid>
      <w:tr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F5C400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  <w:tc>
          <w:tcPr>
            <w:tcW w:type="dxa" w:w="511"/>
            <w:shd w:val="clear" w:color="auto" w:fill="1C1C1C"/>
          </w:tcPr>
          <w:p>
            <w:pPr>
              <w:spacing w:line="100" w:lineRule="exact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6"/>
              </w:rPr>
              <w:t xml:space="preserve">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0" w:type="dxa"/>
          <w:left w:w="140" w:type="dxa"/>
          <w:bottom w:w="110" w:type="dxa"/>
          <w:right w:w="140" w:type="dxa"/>
        </w:tblCellMar>
      </w:tblPr>
      <w:tblGrid>
        <w:gridCol w:w="7200"/>
        <w:gridCol w:w="3024"/>
      </w:tblGrid>
      <w:tr>
        <w:tc>
          <w:tcPr>
            <w:tcW w:type="dxa" w:w="7200"/>
            <w:shd w:val="clear" w:color="auto" w:fill="1C1C1C"/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FFFFFF"/>
                <w:sz w:val="48"/>
              </w:rPr>
              <w:t>Safety Report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BDBDB6"/>
                <w:sz w:val="18"/>
              </w:rPr>
              <w:t>Kessler Metal Works, Plant 1  ·  for the leadership meeting, 6 Oct 2026</w:t>
            </w:r>
          </w:p>
        </w:tc>
        <w:tc>
          <w:tcPr>
            <w:tcW w:type="dxa" w:w="3024"/>
            <w:shd w:val="clear" w:color="auto" w:fill="F5C400"/>
            <w:vAlign w:val="center"/>
          </w:tcPr>
          <w:p>
            <w:pPr>
              <w:jc w:val="center"/>
            </w:pPr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30"/>
              </w:rPr>
              <w:t>SEPTEMBER</w:t>
            </w:r>
          </w:p>
          <w:p>
            <w:pPr>
              <w:jc w:val="center"/>
            </w:pPr>
            <w:r>
              <w:rPr>
                <w:rFonts w:ascii="Franklin Gothic Book" w:hAnsi="Franklin Gothic Book" w:cs="Franklin Gothic Book" w:eastAsia="Franklin Gothic Book"/>
                <w:b w:val="0"/>
                <w:i w:val="0"/>
                <w:sz w:val="22"/>
              </w:rPr>
              <w:t>2026</w:t>
            </w:r>
          </w:p>
        </w:tc>
      </w:tr>
    </w:tbl>
    <w:p>
      <w:pPr>
        <w:spacing w:after="120" w:before="0"/>
      </w:pPr>
    </w:p>
    <w:p>
      <w:pPr>
        <w:spacing w:after="80" w:before="0"/>
      </w:pPr>
      <w:r>
        <w:rPr>
          <w:rFonts w:ascii="Franklin Gothic Medium" w:hAnsi="Franklin Gothic Medium" w:cs="Franklin Gothic Medium" w:eastAsia="Franklin Gothic Medium"/>
          <w:b/>
          <w:i w:val="0"/>
          <w:sz w:val="22"/>
        </w:rPr>
        <w:t xml:space="preserve">Bottom line: </w:t>
      </w:r>
      <w:r>
        <w:rPr>
          <w:rFonts w:ascii="Franklin Gothic Book" w:hAnsi="Franklin Gothic Book" w:cs="Franklin Gothic Book" w:eastAsia="Franklin Gothic Book"/>
          <w:b w:val="0"/>
          <w:i w:val="0"/>
          <w:sz w:val="22"/>
        </w:rPr>
        <w:t>no recordable injuries in September, 134 days since the last one. Near-miss reporting hit a record 12 and every inspection and corrective action was done on time. Year-to-date TRIR is 3.03: under the fabricated-metal average (3.2), but above our 2.0 target.</w:t>
      </w:r>
    </w:p>
    <w:p>
      <w:pPr>
        <w:spacing w:after="60" w:before="200"/>
        <w:pBdr>
          <w:bottom w:val="single" w:sz="12" w:space="2" w:color="F5C400"/>
        </w:pBdr>
      </w:pPr>
      <w:r>
        <w:rPr>
          <w:rFonts w:ascii="Franklin Gothic Medium" w:hAnsi="Franklin Gothic Medium" w:cs="Franklin Gothic Medium" w:eastAsia="Franklin Gothic Medium"/>
          <w:b/>
          <w:i w:val="0"/>
          <w:color w:val="1C1C1C"/>
          <w:sz w:val="22"/>
        </w:rPr>
        <w:t>Leading indicators: are we doing the work?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FFF6CC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Near misses reported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12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record month; 7 in Aug</w:t>
            </w:r>
          </w:p>
        </w:tc>
        <w:tc>
          <w:tcPr>
            <w:tcW w:type="dxa" w:w="2556"/>
            <w:shd w:val="clear" w:color="auto" w:fill="F2F2F0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Inspections done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8/8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100%; 94% YTD</w:t>
            </w:r>
          </w:p>
        </w:tc>
        <w:tc>
          <w:tcPr>
            <w:tcW w:type="dxa" w:w="2556"/>
            <w:shd w:val="clear" w:color="auto" w:fill="F2F2F0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Actions closed on time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7/7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100%; 88% YTD</w:t>
            </w:r>
          </w:p>
        </w:tc>
        <w:tc>
          <w:tcPr>
            <w:tcW w:type="dxa" w:w="2556"/>
            <w:shd w:val="clear" w:color="auto" w:fill="F2F2F0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Near misses per recordable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32.5:1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higher = healthier</w:t>
            </w:r>
          </w:p>
        </w:tc>
      </w:tr>
    </w:tbl>
    <w:p>
      <w:pPr>
        <w:spacing w:after="60" w:before="200"/>
        <w:pBdr>
          <w:bottom w:val="single" w:sz="12" w:space="2" w:color="F5C400"/>
        </w:pBdr>
      </w:pPr>
      <w:r>
        <w:rPr>
          <w:rFonts w:ascii="Franklin Gothic Medium" w:hAnsi="Franklin Gothic Medium" w:cs="Franklin Gothic Medium" w:eastAsia="Franklin Gothic Medium"/>
          <w:b/>
          <w:i w:val="0"/>
          <w:color w:val="1C1C1C"/>
          <w:sz w:val="22"/>
        </w:rPr>
        <w:t>Lagging indicators: what happened?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F2F2F0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Recordables this month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0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2 year to date</w:t>
            </w:r>
          </w:p>
        </w:tc>
        <w:tc>
          <w:tcPr>
            <w:tcW w:type="dxa" w:w="2556"/>
            <w:shd w:val="clear" w:color="auto" w:fill="F2F2F0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TRIR, year to date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3.03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target 2.0 · industry 3.2</w:t>
            </w:r>
          </w:p>
        </w:tc>
        <w:tc>
          <w:tcPr>
            <w:tcW w:type="dxa" w:w="2556"/>
            <w:shd w:val="clear" w:color="auto" w:fill="F2F2F0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DART, year to date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1.52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target 1.0 · industry 1.8</w:t>
            </w:r>
          </w:p>
        </w:tc>
        <w:tc>
          <w:tcPr>
            <w:tcW w:type="dxa" w:w="2556"/>
            <w:shd w:val="clear" w:color="auto" w:fill="FFF6CC"/>
            <w:tcBorders>
              <w:left w:val="single" w:sz="4" w:color="FFFFFF" w:space="0"/>
              <w:right w:val="single" w:sz="4" w:color="FFFFFF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6"/>
              </w:rPr>
              <w:t>Days since last recordable</w:t>
            </w:r>
          </w:p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sz w:val="40"/>
              </w:rPr>
              <w:t>134</w:t>
            </w:r>
          </w:p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6B6B66"/>
                <w:sz w:val="15"/>
              </w:rPr>
              <w:t>last: 19 May</w:t>
            </w:r>
          </w:p>
        </w:tc>
      </w:tr>
    </w:tbl>
    <w:p>
      <w:pPr>
        <w:spacing w:after="60" w:before="200"/>
        <w:pBdr>
          <w:bottom w:val="single" w:sz="12" w:space="2" w:color="F5C400"/>
        </w:pBdr>
      </w:pPr>
      <w:r>
        <w:rPr>
          <w:rFonts w:ascii="Franklin Gothic Medium" w:hAnsi="Franklin Gothic Medium" w:cs="Franklin Gothic Medium" w:eastAsia="Franklin Gothic Medium"/>
          <w:b/>
          <w:i w:val="0"/>
          <w:color w:val="1C1C1C"/>
          <w:sz w:val="22"/>
        </w:rPr>
        <w:t>What happened this month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ayout w:type="fixed"/>
      </w:tblPr>
      <w:tblGrid>
        <w:gridCol w:w="1584"/>
        <w:gridCol w:w="4608"/>
        <w:gridCol w:w="4031"/>
      </w:tblGrid>
      <w:tr>
        <w:tc>
          <w:tcPr>
            <w:tcW w:type="dxa" w:w="1584"/>
            <w:shd w:val="clear" w:color="auto" w:fill="1C1C1C"/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FFFFFF"/>
                <w:sz w:val="17"/>
              </w:rPr>
              <w:t>Type</w:t>
            </w:r>
          </w:p>
        </w:tc>
        <w:tc>
          <w:tcPr>
            <w:tcW w:type="dxa" w:w="4608"/>
            <w:shd w:val="clear" w:color="auto" w:fill="1C1C1C"/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FFFFFF"/>
                <w:sz w:val="17"/>
              </w:rPr>
              <w:t>Event</w:t>
            </w:r>
          </w:p>
        </w:tc>
        <w:tc>
          <w:tcPr>
            <w:tcW w:type="dxa" w:w="4032"/>
            <w:shd w:val="clear" w:color="auto" w:fill="1C1C1C"/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FFFFFF"/>
                <w:sz w:val="17"/>
              </w:rPr>
              <w:t>Action and status</w:t>
            </w:r>
          </w:p>
        </w:tc>
      </w:tr>
      <w:tr>
        <w:tc>
          <w:tcPr>
            <w:tcW w:type="dxa" w:w="1584"/>
            <w:tcBorders>
              <w:bottom w:val="single" w:sz="4" w:color="D9D9D4" w:space="0"/>
            </w:tcBorders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1C1C1C"/>
                <w:sz w:val="18"/>
              </w:rPr>
              <w:t>Near miss</w:t>
            </w:r>
          </w:p>
        </w:tc>
        <w:tc>
          <w:tcPr>
            <w:tcW w:type="dxa" w:w="4608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1C1C1C"/>
                <w:sz w:val="18"/>
              </w:rPr>
              <w:t>Forklift reversed with driver on foot behind it (dock, 8 Sep)</w:t>
            </w:r>
          </w:p>
        </w:tc>
        <w:tc>
          <w:tcPr>
            <w:tcW w:type="dxa" w:w="4032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1C1C1C"/>
                <w:sz w:val="18"/>
              </w:rPr>
              <w:t>Blue-spot lights fitted to FL-2 and FL-3: closed</w:t>
            </w:r>
          </w:p>
        </w:tc>
      </w:tr>
      <w:tr>
        <w:tc>
          <w:tcPr>
            <w:tcW w:type="dxa" w:w="1584"/>
            <w:tcBorders>
              <w:bottom w:val="single" w:sz="4" w:color="D9D9D4" w:space="0"/>
            </w:tcBorders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1C1C1C"/>
                <w:sz w:val="18"/>
              </w:rPr>
              <w:t>Near miss</w:t>
            </w:r>
          </w:p>
        </w:tc>
        <w:tc>
          <w:tcPr>
            <w:tcW w:type="dxa" w:w="4608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1C1C1C"/>
                <w:sz w:val="18"/>
              </w:rPr>
              <w:t>Press brake light curtain taped over during setup (17 Sep)</w:t>
            </w:r>
          </w:p>
        </w:tc>
        <w:tc>
          <w:tcPr>
            <w:tcW w:type="dxa" w:w="4032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1C1C1C"/>
                <w:sz w:val="18"/>
              </w:rPr>
              <w:t>Setup crew retrained; daily check added: closed</w:t>
            </w:r>
          </w:p>
        </w:tc>
      </w:tr>
      <w:tr>
        <w:tc>
          <w:tcPr>
            <w:tcW w:type="dxa" w:w="1584"/>
            <w:tcBorders>
              <w:bottom w:val="single" w:sz="4" w:color="D9D9D4" w:space="0"/>
            </w:tcBorders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1C1C1C"/>
                <w:sz w:val="18"/>
              </w:rPr>
              <w:t>Near miss</w:t>
            </w:r>
          </w:p>
        </w:tc>
        <w:tc>
          <w:tcPr>
            <w:tcW w:type="dxa" w:w="4608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1C1C1C"/>
                <w:sz w:val="18"/>
              </w:rPr>
              <w:t>Racking upright damaged, bay 14 (28 Sep)</w:t>
            </w:r>
          </w:p>
        </w:tc>
        <w:tc>
          <w:tcPr>
            <w:tcW w:type="dxa" w:w="4032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C8371F"/>
                <w:sz w:val="18"/>
              </w:rPr>
              <w:t>Upright replacement booked 12 Oct: open</w:t>
            </w:r>
          </w:p>
        </w:tc>
      </w:tr>
      <w:tr>
        <w:tc>
          <w:tcPr>
            <w:tcW w:type="dxa" w:w="1584"/>
            <w:tcBorders>
              <w:bottom w:val="single" w:sz="4" w:color="D9D9D4" w:space="0"/>
            </w:tcBorders>
          </w:tcPr>
          <w:p>
            <w:r>
              <w:rPr>
                <w:rFonts w:ascii="Franklin Gothic Medium" w:hAnsi="Franklin Gothic Medium" w:cs="Franklin Gothic Medium" w:eastAsia="Franklin Gothic Medium"/>
                <w:b/>
                <w:i w:val="0"/>
                <w:color w:val="1C1C1C"/>
                <w:sz w:val="18"/>
              </w:rPr>
              <w:t>First aid ×3</w:t>
            </w:r>
          </w:p>
        </w:tc>
        <w:tc>
          <w:tcPr>
            <w:tcW w:type="dxa" w:w="4608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1C1C1C"/>
                <w:sz w:val="18"/>
              </w:rPr>
              <w:t>Wrist spatter burn, pallet splinter, sheet-edge cut</w:t>
            </w:r>
          </w:p>
        </w:tc>
        <w:tc>
          <w:tcPr>
            <w:tcW w:type="dxa" w:w="4032"/>
            <w:tcBorders>
              <w:bottom w:val="single" w:sz="4" w:color="D9D9D4" w:space="0"/>
            </w:tcBorders>
          </w:tcPr>
          <w:p>
            <w:r>
              <w:rPr>
                <w:rFonts w:ascii="Franklin Gothic Book" w:hAnsi="Franklin Gothic Book" w:cs="Franklin Gothic Book" w:eastAsia="Franklin Gothic Book"/>
                <w:b w:val="0"/>
                <w:i w:val="0"/>
                <w:color w:val="C8371F"/>
                <w:sz w:val="18"/>
              </w:rPr>
              <w:t>Longer gloves; cut-level A4 gloves for sheet: 1 open</w:t>
            </w:r>
          </w:p>
        </w:tc>
      </w:tr>
    </w:tbl>
    <w:p>
      <w:pPr>
        <w:spacing w:after="60" w:before="200"/>
        <w:pBdr>
          <w:bottom w:val="single" w:sz="12" w:space="2" w:color="F5C400"/>
        </w:pBdr>
      </w:pPr>
      <w:r>
        <w:rPr>
          <w:rFonts w:ascii="Franklin Gothic Medium" w:hAnsi="Franklin Gothic Medium" w:cs="Franklin Gothic Medium" w:eastAsia="Franklin Gothic Medium"/>
          <w:b/>
          <w:i w:val="0"/>
          <w:color w:val="1C1C1C"/>
          <w:sz w:val="22"/>
        </w:rPr>
        <w:t>Focus for October</w:t>
      </w:r>
    </w:p>
    <w:p>
      <w:pPr>
        <w:spacing w:after="60" w:before="40"/>
        <w:ind w:left="288" w:hanging="288"/>
      </w:pPr>
      <w:r>
        <w:rPr>
          <w:rFonts w:ascii="Franklin Gothic Medium" w:hAnsi="Franklin Gothic Medium" w:cs="Franklin Gothic Medium" w:eastAsia="Franklin Gothic Medium"/>
          <w:b/>
          <w:i w:val="0"/>
          <w:color w:val="F5C400"/>
          <w:sz w:val="16"/>
        </w:rPr>
        <w:t xml:space="preserve">▲  </w:t>
      </w:r>
      <w:r>
        <w:rPr>
          <w:rFonts w:ascii="Franklin Gothic Medium" w:hAnsi="Franklin Gothic Medium" w:cs="Franklin Gothic Medium" w:eastAsia="Franklin Gothic Medium"/>
          <w:b/>
          <w:i w:val="0"/>
          <w:sz w:val="19"/>
        </w:rPr>
        <w:t xml:space="preserve">Racking. </w:t>
      </w:r>
      <w:r>
        <w:rPr>
          <w:rFonts w:ascii="Franklin Gothic Book" w:hAnsi="Franklin Gothic Book" w:cs="Franklin Gothic Book" w:eastAsia="Franklin Gothic Book"/>
          <w:b w:val="0"/>
          <w:i w:val="0"/>
          <w:sz w:val="19"/>
        </w:rPr>
        <w:t>Full rack inspection after the bay 14 damage. Forklift drivers briefed on rack clearance.</w:t>
      </w:r>
    </w:p>
    <w:p>
      <w:pPr>
        <w:spacing w:after="60" w:before="40"/>
        <w:ind w:left="288" w:hanging="288"/>
      </w:pPr>
      <w:r>
        <w:rPr>
          <w:rFonts w:ascii="Franklin Gothic Medium" w:hAnsi="Franklin Gothic Medium" w:cs="Franklin Gothic Medium" w:eastAsia="Franklin Gothic Medium"/>
          <w:b/>
          <w:i w:val="0"/>
          <w:color w:val="F5C400"/>
          <w:sz w:val="16"/>
        </w:rPr>
        <w:t xml:space="preserve">▲  </w:t>
      </w:r>
      <w:r>
        <w:rPr>
          <w:rFonts w:ascii="Franklin Gothic Medium" w:hAnsi="Franklin Gothic Medium" w:cs="Franklin Gothic Medium" w:eastAsia="Franklin Gothic Medium"/>
          <w:b/>
          <w:i w:val="0"/>
          <w:sz w:val="19"/>
        </w:rPr>
        <w:t xml:space="preserve">Sheet handling. </w:t>
      </w:r>
      <w:r>
        <w:rPr>
          <w:rFonts w:ascii="Franklin Gothic Book" w:hAnsi="Franklin Gothic Book" w:cs="Franklin Gothic Book" w:eastAsia="Franklin Gothic Book"/>
          <w:b w:val="0"/>
          <w:i w:val="0"/>
          <w:sz w:val="19"/>
        </w:rPr>
        <w:t>Two of the last five first-aid cases were sheet-edge cuts. Roll out A4 gloves and check edge protectors on the shear line.</w:t>
      </w:r>
    </w:p>
    <w:p>
      <w:pPr>
        <w:spacing w:after="60" w:before="40"/>
        <w:ind w:left="288" w:hanging="288"/>
      </w:pPr>
      <w:r>
        <w:rPr>
          <w:rFonts w:ascii="Franklin Gothic Medium" w:hAnsi="Franklin Gothic Medium" w:cs="Franklin Gothic Medium" w:eastAsia="Franklin Gothic Medium"/>
          <w:b/>
          <w:i w:val="0"/>
          <w:color w:val="F5C400"/>
          <w:sz w:val="16"/>
        </w:rPr>
        <w:t xml:space="preserve">▲  </w:t>
      </w:r>
      <w:r>
        <w:rPr>
          <w:rFonts w:ascii="Franklin Gothic Medium" w:hAnsi="Franklin Gothic Medium" w:cs="Franklin Gothic Medium" w:eastAsia="Franklin Gothic Medium"/>
          <w:b/>
          <w:i w:val="0"/>
          <w:sz w:val="19"/>
        </w:rPr>
        <w:t xml:space="preserve">Keep reporting. </w:t>
      </w:r>
      <w:r>
        <w:rPr>
          <w:rFonts w:ascii="Franklin Gothic Book" w:hAnsi="Franklin Gothic Book" w:cs="Franklin Gothic Book" w:eastAsia="Franklin Gothic Book"/>
          <w:b w:val="0"/>
          <w:i w:val="0"/>
          <w:sz w:val="19"/>
        </w:rPr>
        <w:t>Twelve near misses is a good sign, not a bad one. Thank reporters by name at the shift huddle.</w:t>
      </w:r>
    </w:p>
    <w:p>
      <w:pPr>
        <w:spacing w:after="0" w:before="240"/>
      </w:pPr>
      <w:r>
        <w:rPr>
          <w:rFonts w:ascii="Franklin Gothic Book" w:hAnsi="Franklin Gothic Book" w:cs="Franklin Gothic Book" w:eastAsia="Franklin Gothic Book"/>
          <w:b w:val="0"/>
          <w:i/>
          <w:color w:val="6B6B66"/>
          <w:sz w:val="16"/>
        </w:rPr>
        <w:t>Prepared by Tomás Grant, EHS Coordinator  ·  Rates per 200,000 hours (OSHA method). Benchmarks: BLS SOII 2024, NAICS 332.</w:t>
      </w:r>
    </w:p>
    <w:sectPr w:rsidR="00FC693F" w:rsidRPr="0006063C" w:rsidSect="00034616">
      <w:pgSz w:w="12240" w:h="15840"/>
      <w:pgMar w:top="64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Franklin Gothic Book" w:hAnsi="Franklin Gothic Book" w:cs="Franklin Gothic Book" w:eastAsia="Franklin Gothic Book"/>
      <w:color w:val="1C1C1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Safety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