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7200"/>
        <w:gridCol w:w="2880"/>
      </w:tblGrid>
      <w:tr>
        <w:tc>
          <w:tcPr>
            <w:tcW w:type="dxa" w:w="7200"/>
            <w:vAlign w:val="bottom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/>
                <w:i w:val="0"/>
                <w:color w:val="B05F74"/>
                <w:sz w:val="16"/>
              </w:rPr>
              <w:t>QUARTERLY REPORT  ·  PEOPLE &amp; CULTURE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Georgia" w:hAnsi="Georgia" w:eastAsia="Georgia" w:cs="Georgia"/>
                <w:b/>
                <w:i w:val="0"/>
                <w:color w:val="4A2545"/>
                <w:sz w:val="48"/>
              </w:rPr>
              <w:t>Employee Turnover Report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Georgia" w:hAnsi="Georgia" w:eastAsia="Georgia" w:cs="Georgia"/>
                <w:b w:val="0"/>
                <w:i/>
                <w:color w:val="2B2230"/>
                <w:sz w:val="22"/>
              </w:rPr>
              <w:t>Q3 2026  ·  July 1 – September 30, 2026</w:t>
            </w:r>
          </w:p>
        </w:tc>
        <w:tc>
          <w:tcPr>
            <w:tcW w:type="dxa" w:w="2880"/>
            <w:vAlign w:val="bottom"/>
          </w:tcPr>
          <w:p>
            <w:pPr>
              <w:spacing w:after="0" w:before="0" w:line="240" w:lineRule="auto"/>
              <w:jc w:val="right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20"/>
              </w:rPr>
              <w:t>Northfield Home Health</w:t>
            </w:r>
          </w:p>
          <w:p>
            <w:pPr>
              <w:spacing w:after="0" w:before="0" w:line="240" w:lineRule="auto"/>
              <w:jc w:val="right"/>
            </w:pPr>
            <w:r>
              <w:rPr>
                <w:rFonts w:ascii="Segoe UI" w:hAnsi="Segoe UI" w:eastAsia="Segoe UI" w:cs="Segoe UI"/>
                <w:b w:val="0"/>
                <w:i w:val="0"/>
                <w:color w:val="8A7A86"/>
                <w:sz w:val="17"/>
              </w:rPr>
              <w:t>Prepared by Dana Whitlock</w:t>
            </w:r>
          </w:p>
          <w:p>
            <w:pPr>
              <w:spacing w:after="0" w:before="0" w:line="240" w:lineRule="auto"/>
              <w:jc w:val="right"/>
            </w:pPr>
            <w:r>
              <w:rPr>
                <w:rFonts w:ascii="Segoe UI" w:hAnsi="Segoe UI" w:eastAsia="Segoe UI" w:cs="Segoe UI"/>
                <w:b w:val="0"/>
                <w:i w:val="0"/>
                <w:color w:val="8A7A86"/>
                <w:sz w:val="17"/>
              </w:rPr>
              <w:t>HR Manager</w:t>
            </w:r>
          </w:p>
          <w:p>
            <w:pPr>
              <w:spacing w:after="0" w:before="0" w:line="240" w:lineRule="auto"/>
              <w:jc w:val="right"/>
            </w:pPr>
            <w:r>
              <w:rPr>
                <w:rFonts w:ascii="Segoe UI" w:hAnsi="Segoe UI" w:eastAsia="Segoe UI" w:cs="Segoe UI"/>
                <w:b w:val="0"/>
                <w:i w:val="0"/>
                <w:color w:val="8A7A86"/>
                <w:sz w:val="17"/>
              </w:rPr>
              <w:t>October 9, 2026</w:t>
            </w:r>
          </w:p>
        </w:tc>
      </w:tr>
    </w:tbl>
    <w:p>
      <w:pPr>
        <w:spacing w:before="0" w:after="200"/>
        <w:jc w:val="left"/>
        <w:pBdr>
          <w:bottom w:val="double" w:sz="6" w:space="4" w:color="C97B8E"/>
        </w:pBdr>
      </w:pPr>
    </w:p>
    <w:p>
      <w:pPr>
        <w:keepNext/>
        <w:pageBreakBefore w:val="0"/>
        <w:spacing w:before="280" w:after="120"/>
      </w:pPr>
      <w:r>
        <w:rPr>
          <w:rFonts w:ascii="Georgia" w:hAnsi="Georgia" w:eastAsia="Georgia" w:cs="Georgia"/>
          <w:b/>
          <w:color w:val="4A2545"/>
          <w:sz w:val="28"/>
        </w:rPr>
        <w:t>The short version</w:t>
      </w:r>
    </w:p>
    <w:p>
      <w:pPr>
        <w:spacing w:before="0" w:after="100"/>
        <w:jc w:val="left"/>
      </w:pPr>
      <w:r>
        <w:rPr>
          <w:rFonts w:ascii="Segoe UI" w:hAnsi="Segoe UI" w:eastAsia="Segoe UI" w:cs="Segoe UI"/>
          <w:b w:val="0"/>
          <w:i w:val="0"/>
          <w:color w:val="2B2230"/>
          <w:sz w:val="19"/>
        </w:rPr>
        <w:t>We lost 12 people in Q3, up from 9 in Q2, on a slightly larger team. That puts the quarterly turnover rate at 5.5% (about 22% if the pace held for a year), against 19.2% for the last twelve months. Almost all of the increase is voluntary, and 11 of the 12 leavers had been with us less than a year. The problem is not our experienced nurses and therapists. It is new home care aides leaving before their first anniversary, mostly over pay and schedules.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60" w:type="dxa"/>
          <w:bottom w:w="40" w:type="dxa"/>
          <w:right w:w="60" w:type="dxa"/>
        </w:tblCellMar>
        <w:tblLayout w:type="fixed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vAlign w:val="center"/>
            <w:shd w:val="clear" w:color="auto" w:fill="F6E7EB"/>
            <w:tcBorders>
              <w:top w:val="single" w:sz="16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B05F74"/>
                <w:sz w:val="15"/>
              </w:rPr>
              <w:t>Q3 EXITS</w:t>
            </w:r>
          </w:p>
        </w:tc>
        <w:tc>
          <w:tcPr>
            <w:tcW w:type="dxa" w:w="2520"/>
            <w:vAlign w:val="center"/>
            <w:shd w:val="clear" w:color="auto" w:fill="F6E7EB"/>
            <w:tcBorders>
              <w:top w:val="single" w:sz="16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B05F74"/>
                <w:sz w:val="15"/>
              </w:rPr>
              <w:t>Q3 TURNOVER</w:t>
            </w:r>
          </w:p>
        </w:tc>
        <w:tc>
          <w:tcPr>
            <w:tcW w:type="dxa" w:w="2520"/>
            <w:vAlign w:val="center"/>
            <w:shd w:val="clear" w:color="auto" w:fill="F6E7EB"/>
            <w:tcBorders>
              <w:top w:val="single" w:sz="16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B05F74"/>
                <w:sz w:val="15"/>
              </w:rPr>
              <w:t>12-MONTH TURNOVER</w:t>
            </w:r>
          </w:p>
        </w:tc>
        <w:tc>
          <w:tcPr>
            <w:tcW w:type="dxa" w:w="2520"/>
            <w:vAlign w:val="center"/>
            <w:shd w:val="clear" w:color="auto" w:fill="F6E7EB"/>
            <w:tcBorders>
              <w:top w:val="single" w:sz="16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B05F74"/>
                <w:sz w:val="15"/>
              </w:rPr>
              <w:t>FIRST-YEAR LEAVERS</w:t>
            </w:r>
          </w:p>
        </w:tc>
      </w:tr>
      <w:tr>
        <w:tc>
          <w:tcPr>
            <w:tcW w:type="dxa" w:w="2520"/>
            <w:vAlign w:val="center"/>
            <w:shd w:val="clear" w:color="auto" w:fill="F6E7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Georgia" w:hAnsi="Georgia" w:eastAsia="Georgia" w:cs="Georgia"/>
                <w:b/>
                <w:i w:val="0"/>
                <w:color w:val="4A2545"/>
                <w:sz w:val="44"/>
              </w:rPr>
              <w:t>12</w:t>
            </w:r>
          </w:p>
        </w:tc>
        <w:tc>
          <w:tcPr>
            <w:tcW w:type="dxa" w:w="2520"/>
            <w:vAlign w:val="center"/>
            <w:shd w:val="clear" w:color="auto" w:fill="F6E7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Georgia" w:hAnsi="Georgia" w:eastAsia="Georgia" w:cs="Georgia"/>
                <w:b/>
                <w:i w:val="0"/>
                <w:color w:val="4A2545"/>
                <w:sz w:val="44"/>
              </w:rPr>
              <w:t>5.5%</w:t>
            </w:r>
          </w:p>
        </w:tc>
        <w:tc>
          <w:tcPr>
            <w:tcW w:type="dxa" w:w="2520"/>
            <w:vAlign w:val="center"/>
            <w:shd w:val="clear" w:color="auto" w:fill="F6E7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Georgia" w:hAnsi="Georgia" w:eastAsia="Georgia" w:cs="Georgia"/>
                <w:b/>
                <w:i w:val="0"/>
                <w:color w:val="4A2545"/>
                <w:sz w:val="44"/>
              </w:rPr>
              <w:t>19.2%</w:t>
            </w:r>
          </w:p>
        </w:tc>
        <w:tc>
          <w:tcPr>
            <w:tcW w:type="dxa" w:w="2520"/>
            <w:vAlign w:val="center"/>
            <w:shd w:val="clear" w:color="auto" w:fill="F6E7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Georgia" w:hAnsi="Georgia" w:eastAsia="Georgia" w:cs="Georgia"/>
                <w:b/>
                <w:i w:val="0"/>
                <w:color w:val="4A2545"/>
                <w:sz w:val="44"/>
              </w:rPr>
              <w:t>61%</w:t>
            </w:r>
          </w:p>
        </w:tc>
      </w:tr>
      <w:tr>
        <w:tc>
          <w:tcPr>
            <w:tcW w:type="dxa" w:w="2520"/>
            <w:vAlign w:val="center"/>
            <w:shd w:val="clear" w:color="auto" w:fill="F6E7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/>
                <w:color w:val="8A7A86"/>
                <w:sz w:val="15"/>
              </w:rPr>
              <w:t>11 voluntary · 1 involuntary</w:t>
            </w:r>
          </w:p>
        </w:tc>
        <w:tc>
          <w:tcPr>
            <w:tcW w:type="dxa" w:w="2520"/>
            <w:vAlign w:val="center"/>
            <w:shd w:val="clear" w:color="auto" w:fill="F6E7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/>
                <w:color w:val="8A7A86"/>
                <w:sz w:val="15"/>
              </w:rPr>
              <w:t>Q2 was 4.2%</w:t>
            </w:r>
          </w:p>
        </w:tc>
        <w:tc>
          <w:tcPr>
            <w:tcW w:type="dxa" w:w="2520"/>
            <w:vAlign w:val="center"/>
            <w:shd w:val="clear" w:color="auto" w:fill="F6E7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/>
                <w:color w:val="8A7A86"/>
                <w:sz w:val="15"/>
              </w:rPr>
              <w:t>41 exits ÷ 213.8 avg headcount</w:t>
            </w:r>
          </w:p>
        </w:tc>
        <w:tc>
          <w:tcPr>
            <w:tcW w:type="dxa" w:w="2520"/>
            <w:vAlign w:val="center"/>
            <w:shd w:val="clear" w:color="auto" w:fill="F6E7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/>
                <w:color w:val="8A7A86"/>
                <w:sz w:val="15"/>
              </w:rPr>
              <w:t>25 of 41 in the last 12 months</w:t>
            </w:r>
          </w:p>
        </w:tc>
      </w:tr>
    </w:tbl>
    <w:p>
      <w:pPr>
        <w:keepNext/>
        <w:pageBreakBefore w:val="0"/>
        <w:spacing w:before="280" w:after="120"/>
      </w:pPr>
      <w:r>
        <w:rPr>
          <w:rFonts w:ascii="Georgia" w:hAnsi="Georgia" w:eastAsia="Georgia" w:cs="Georgia"/>
          <w:b/>
          <w:color w:val="4A2545"/>
          <w:sz w:val="28"/>
        </w:rPr>
        <w:t>Quarter at a glance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5" w:type="dxa"/>
          <w:left w:w="80" w:type="dxa"/>
          <w:bottom w:w="55" w:type="dxa"/>
          <w:right w:w="80" w:type="dxa"/>
        </w:tblCellMar>
        <w:tblLayout w:type="fixed"/>
      </w:tblPr>
      <w:tblGrid>
        <w:gridCol w:w="4464"/>
        <w:gridCol w:w="1872"/>
        <w:gridCol w:w="1872"/>
        <w:gridCol w:w="1872"/>
      </w:tblGrid>
      <w:tr>
        <w:tc>
          <w:tcPr>
            <w:tcW w:type="dxa" w:w="4464"/>
            <w:vAlign w:val="center"/>
            <w:tcBorders>
              <w:top w:val="single" w:sz="8" w:color="4A2545"/>
              <w:bottom w:val="single" w:sz="8" w:color="4A2545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6"/>
              </w:rPr>
              <w:t>Measure</w:t>
            </w:r>
          </w:p>
        </w:tc>
        <w:tc>
          <w:tcPr>
            <w:tcW w:type="dxa" w:w="1872"/>
            <w:vAlign w:val="center"/>
            <w:tcBorders>
              <w:top w:val="single" w:sz="8" w:color="4A2545"/>
              <w:bottom w:val="single" w:sz="8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6"/>
              </w:rPr>
              <w:t>Q2 2026</w:t>
            </w:r>
          </w:p>
        </w:tc>
        <w:tc>
          <w:tcPr>
            <w:tcW w:type="dxa" w:w="1872"/>
            <w:vAlign w:val="center"/>
            <w:tcBorders>
              <w:top w:val="single" w:sz="8" w:color="4A2545"/>
              <w:bottom w:val="single" w:sz="8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6"/>
              </w:rPr>
              <w:t>Q3 2026</w:t>
            </w:r>
          </w:p>
        </w:tc>
        <w:tc>
          <w:tcPr>
            <w:tcW w:type="dxa" w:w="1872"/>
            <w:vAlign w:val="center"/>
            <w:tcBorders>
              <w:top w:val="single" w:sz="8" w:color="4A2545"/>
              <w:bottom w:val="single" w:sz="8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6"/>
              </w:rPr>
              <w:t>Change</w:t>
            </w:r>
          </w:p>
        </w:tc>
      </w:tr>
      <w:tr>
        <w:tc>
          <w:tcPr>
            <w:tcW w:type="dxa" w:w="4464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Average headcount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215.2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217.5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+2.3</w:t>
            </w:r>
          </w:p>
        </w:tc>
      </w:tr>
      <w:tr>
        <w:tc>
          <w:tcPr>
            <w:tcW w:type="dxa" w:w="4464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New hires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12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13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+1</w:t>
            </w:r>
          </w:p>
        </w:tc>
      </w:tr>
      <w:tr>
        <w:tc>
          <w:tcPr>
            <w:tcW w:type="dxa" w:w="4464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Voluntary exits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7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11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</w:rPr>
            </w:r>
            <w:r>
              <w:rPr>
                <w:rFonts w:ascii="Segoe UI" w:hAnsi="Segoe UI" w:eastAsia="Segoe UI" w:cs="Segoe UI"/>
                <w:b w:val="0"/>
                <w:i w:val="0"/>
                <w:color w:val="A3324F"/>
                <w:sz w:val="18"/>
              </w:rPr>
              <w:t>+4</w:t>
            </w:r>
          </w:p>
        </w:tc>
      </w:tr>
      <w:tr>
        <w:tc>
          <w:tcPr>
            <w:tcW w:type="dxa" w:w="4464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Involuntary exits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2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1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-1</w:t>
            </w:r>
          </w:p>
        </w:tc>
      </w:tr>
      <w:tr>
        <w:tc>
          <w:tcPr>
            <w:tcW w:type="dxa" w:w="4464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Total exits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9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12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</w:rPr>
            </w:r>
            <w:r>
              <w:rPr>
                <w:rFonts w:ascii="Segoe UI" w:hAnsi="Segoe UI" w:eastAsia="Segoe UI" w:cs="Segoe UI"/>
                <w:b w:val="0"/>
                <w:i w:val="0"/>
                <w:color w:val="A3324F"/>
                <w:sz w:val="18"/>
              </w:rPr>
              <w:t>+3</w:t>
            </w:r>
          </w:p>
        </w:tc>
      </w:tr>
      <w:tr>
        <w:tc>
          <w:tcPr>
            <w:tcW w:type="dxa" w:w="4464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Turnover rate (quarter)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4.2%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5.5%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>
              <w:rPr>
                <w:b/>
              </w:rPr>
            </w:r>
            <w:r>
              <w:rPr>
                <w:rFonts w:ascii="Segoe UI" w:hAnsi="Segoe UI" w:eastAsia="Segoe UI" w:cs="Segoe UI"/>
                <w:b w:val="0"/>
                <w:i w:val="0"/>
                <w:color w:val="A3324F"/>
                <w:sz w:val="18"/>
              </w:rPr>
              <w:t>+1.3 pts</w:t>
            </w:r>
          </w:p>
        </w:tc>
      </w:tr>
      <w:tr>
        <w:tc>
          <w:tcPr>
            <w:tcW w:type="dxa" w:w="4464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Leavers with &lt; 1 year tenure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6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11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</w:rPr>
            </w:r>
            <w:r>
              <w:rPr>
                <w:rFonts w:ascii="Segoe UI" w:hAnsi="Segoe UI" w:eastAsia="Segoe UI" w:cs="Segoe UI"/>
                <w:b w:val="0"/>
                <w:i w:val="0"/>
                <w:color w:val="A3324F"/>
                <w:sz w:val="18"/>
              </w:rPr>
              <w:t>+5</w:t>
            </w:r>
          </w:p>
        </w:tc>
      </w:tr>
      <w:tr>
        <w:tc>
          <w:tcPr>
            <w:tcW w:type="dxa" w:w="4464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Regrettable losses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6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7</w:t>
            </w:r>
          </w:p>
        </w:tc>
        <w:tc>
          <w:tcPr>
            <w:tcW w:type="dxa" w:w="1872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+1</w:t>
            </w:r>
          </w:p>
        </w:tc>
      </w:tr>
    </w:tbl>
    <w:p>
      <w:pPr>
        <w:spacing w:before="80" w:after="100"/>
        <w:jc w:val="left"/>
      </w:pPr>
      <w:r>
        <w:rPr>
          <w:rFonts w:ascii="Segoe UI" w:hAnsi="Segoe UI" w:eastAsia="Segoe UI" w:cs="Segoe UI"/>
          <w:b w:val="0"/>
          <w:i/>
          <w:color w:val="8A7A86"/>
          <w:sz w:val="15"/>
        </w:rPr>
        <w:t>Turnover rate = exits in the period ÷ average headcount in the period. Average headcount is the mean of each month’s (start + end) ÷ 2.</w:t>
      </w:r>
    </w:p>
    <w:p>
      <w:pPr>
        <w:keepNext/>
        <w:pageBreakBefore w:val="0"/>
        <w:spacing w:before="280" w:after="120"/>
      </w:pPr>
      <w:r>
        <w:rPr>
          <w:rFonts w:ascii="Georgia" w:hAnsi="Georgia" w:eastAsia="Georgia" w:cs="Georgia"/>
          <w:b/>
          <w:color w:val="4A2545"/>
          <w:sz w:val="28"/>
        </w:rPr>
        <w:t>Where it is happening</w:t>
      </w:r>
    </w:p>
    <w:p>
      <w:pPr>
        <w:spacing w:before="0" w:after="100"/>
        <w:jc w:val="left"/>
      </w:pPr>
      <w:r>
        <w:rPr>
          <w:rFonts w:ascii="Segoe UI" w:hAnsi="Segoe UI" w:eastAsia="Segoe UI" w:cs="Segoe UI"/>
          <w:b w:val="0"/>
          <w:i w:val="0"/>
          <w:color w:val="2B2230"/>
          <w:sz w:val="19"/>
        </w:rPr>
        <w:t>Twelve-month view, because one quarter is too small a sample for teams of 20. Rates above the company figure are highlighted.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5" w:type="dxa"/>
          <w:left w:w="80" w:type="dxa"/>
          <w:bottom w:w="55" w:type="dxa"/>
          <w:right w:w="80" w:type="dxa"/>
        </w:tblCellMar>
        <w:tblLayout w:type="fixed"/>
      </w:tblPr>
      <w:tblGrid>
        <w:gridCol w:w="3168"/>
        <w:gridCol w:w="1440"/>
        <w:gridCol w:w="1152"/>
        <w:gridCol w:w="1440"/>
        <w:gridCol w:w="1584"/>
        <w:gridCol w:w="1296"/>
      </w:tblGrid>
      <w:tr>
        <w:tc>
          <w:tcPr>
            <w:tcW w:type="dxa" w:w="3168"/>
            <w:vAlign w:val="center"/>
            <w:tcBorders>
              <w:top w:val="single" w:sz="8" w:color="4A2545"/>
              <w:bottom w:val="single" w:sz="8" w:color="4A2545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6"/>
              </w:rPr>
              <w:t>Department</w:t>
            </w:r>
          </w:p>
        </w:tc>
        <w:tc>
          <w:tcPr>
            <w:tcW w:type="dxa" w:w="1440"/>
            <w:vAlign w:val="center"/>
            <w:tcBorders>
              <w:top w:val="single" w:sz="8" w:color="4A2545"/>
              <w:bottom w:val="single" w:sz="8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6"/>
              </w:rPr>
              <w:t>Avg headcount</w:t>
            </w:r>
          </w:p>
        </w:tc>
        <w:tc>
          <w:tcPr>
            <w:tcW w:type="dxa" w:w="1152"/>
            <w:vAlign w:val="center"/>
            <w:tcBorders>
              <w:top w:val="single" w:sz="8" w:color="4A2545"/>
              <w:bottom w:val="single" w:sz="8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6"/>
              </w:rPr>
              <w:t>Exits</w:t>
            </w:r>
          </w:p>
        </w:tc>
        <w:tc>
          <w:tcPr>
            <w:tcW w:type="dxa" w:w="1440"/>
            <w:vAlign w:val="center"/>
            <w:tcBorders>
              <w:top w:val="single" w:sz="8" w:color="4A2545"/>
              <w:bottom w:val="single" w:sz="8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6"/>
              </w:rPr>
              <w:t>Turnover</w:t>
            </w:r>
          </w:p>
        </w:tc>
        <w:tc>
          <w:tcPr>
            <w:tcW w:type="dxa" w:w="1584"/>
            <w:vAlign w:val="center"/>
            <w:tcBorders>
              <w:top w:val="single" w:sz="8" w:color="4A2545"/>
              <w:bottom w:val="single" w:sz="8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6"/>
              </w:rPr>
              <w:t>First-year exits</w:t>
            </w:r>
          </w:p>
        </w:tc>
        <w:tc>
          <w:tcPr>
            <w:tcW w:type="dxa" w:w="1296"/>
            <w:vAlign w:val="center"/>
            <w:tcBorders>
              <w:top w:val="single" w:sz="8" w:color="4A2545"/>
              <w:bottom w:val="single" w:sz="8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6"/>
              </w:rPr>
              <w:t>Regrettable</w:t>
            </w:r>
          </w:p>
        </w:tc>
      </w:tr>
      <w:tr>
        <w:tc>
          <w:tcPr>
            <w:tcW w:type="dxa" w:w="3168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Home Care Aides</w:t>
            </w:r>
          </w:p>
        </w:tc>
        <w:tc>
          <w:tcPr>
            <w:tcW w:type="dxa" w:w="1440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92</w:t>
            </w:r>
          </w:p>
        </w:tc>
        <w:tc>
          <w:tcPr>
            <w:tcW w:type="dxa" w:w="1152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21</w:t>
            </w:r>
          </w:p>
        </w:tc>
        <w:tc>
          <w:tcPr>
            <w:tcW w:type="dxa" w:w="1440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</w:rPr>
            </w:r>
            <w:r>
              <w:rPr>
                <w:rFonts w:ascii="Segoe UI" w:hAnsi="Segoe UI" w:eastAsia="Segoe UI" w:cs="Segoe UI"/>
                <w:b w:val="0"/>
                <w:i w:val="0"/>
                <w:color w:val="A3324F"/>
                <w:sz w:val="18"/>
              </w:rPr>
              <w:t>22.8%</w:t>
            </w:r>
          </w:p>
        </w:tc>
        <w:tc>
          <w:tcPr>
            <w:tcW w:type="dxa" w:w="1584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16</w:t>
            </w:r>
          </w:p>
        </w:tc>
        <w:tc>
          <w:tcPr>
            <w:tcW w:type="dxa" w:w="1296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7</w:t>
            </w:r>
          </w:p>
        </w:tc>
      </w:tr>
      <w:tr>
        <w:tc>
          <w:tcPr>
            <w:tcW w:type="dxa" w:w="3168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Field Nursing</w:t>
            </w:r>
          </w:p>
        </w:tc>
        <w:tc>
          <w:tcPr>
            <w:tcW w:type="dxa" w:w="1440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56</w:t>
            </w:r>
          </w:p>
        </w:tc>
        <w:tc>
          <w:tcPr>
            <w:tcW w:type="dxa" w:w="1152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10</w:t>
            </w:r>
          </w:p>
        </w:tc>
        <w:tc>
          <w:tcPr>
            <w:tcW w:type="dxa" w:w="1440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17.9%</w:t>
            </w:r>
          </w:p>
        </w:tc>
        <w:tc>
          <w:tcPr>
            <w:tcW w:type="dxa" w:w="1584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5</w:t>
            </w:r>
          </w:p>
        </w:tc>
        <w:tc>
          <w:tcPr>
            <w:tcW w:type="dxa" w:w="1296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7</w:t>
            </w:r>
          </w:p>
        </w:tc>
      </w:tr>
      <w:tr>
        <w:tc>
          <w:tcPr>
            <w:tcW w:type="dxa" w:w="3168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Therapy</w:t>
            </w:r>
          </w:p>
        </w:tc>
        <w:tc>
          <w:tcPr>
            <w:tcW w:type="dxa" w:w="1440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23</w:t>
            </w:r>
          </w:p>
        </w:tc>
        <w:tc>
          <w:tcPr>
            <w:tcW w:type="dxa" w:w="1152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3</w:t>
            </w:r>
          </w:p>
        </w:tc>
        <w:tc>
          <w:tcPr>
            <w:tcW w:type="dxa" w:w="1440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13.0%</w:t>
            </w:r>
          </w:p>
        </w:tc>
        <w:tc>
          <w:tcPr>
            <w:tcW w:type="dxa" w:w="1584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0</w:t>
            </w:r>
          </w:p>
        </w:tc>
        <w:tc>
          <w:tcPr>
            <w:tcW w:type="dxa" w:w="1296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2</w:t>
            </w:r>
          </w:p>
        </w:tc>
      </w:tr>
      <w:tr>
        <w:tc>
          <w:tcPr>
            <w:tcW w:type="dxa" w:w="3168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Scheduling &amp; Intake</w:t>
            </w:r>
          </w:p>
        </w:tc>
        <w:tc>
          <w:tcPr>
            <w:tcW w:type="dxa" w:w="1440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19</w:t>
            </w:r>
          </w:p>
        </w:tc>
        <w:tc>
          <w:tcPr>
            <w:tcW w:type="dxa" w:w="1152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4</w:t>
            </w:r>
          </w:p>
        </w:tc>
        <w:tc>
          <w:tcPr>
            <w:tcW w:type="dxa" w:w="1440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>
              <w:rPr>
                <w:b/>
              </w:rPr>
            </w:r>
            <w:r>
              <w:rPr>
                <w:rFonts w:ascii="Segoe UI" w:hAnsi="Segoe UI" w:eastAsia="Segoe UI" w:cs="Segoe UI"/>
                <w:b w:val="0"/>
                <w:i w:val="0"/>
                <w:color w:val="A3324F"/>
                <w:sz w:val="18"/>
              </w:rPr>
              <w:t>21.1%</w:t>
            </w:r>
          </w:p>
        </w:tc>
        <w:tc>
          <w:tcPr>
            <w:tcW w:type="dxa" w:w="1584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2</w:t>
            </w:r>
          </w:p>
        </w:tc>
        <w:tc>
          <w:tcPr>
            <w:tcW w:type="dxa" w:w="1296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3</w:t>
            </w:r>
          </w:p>
        </w:tc>
      </w:tr>
      <w:tr>
        <w:tc>
          <w:tcPr>
            <w:tcW w:type="dxa" w:w="3168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Administration</w:t>
            </w:r>
          </w:p>
        </w:tc>
        <w:tc>
          <w:tcPr>
            <w:tcW w:type="dxa" w:w="1440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24</w:t>
            </w:r>
          </w:p>
        </w:tc>
        <w:tc>
          <w:tcPr>
            <w:tcW w:type="dxa" w:w="1152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3</w:t>
            </w:r>
          </w:p>
        </w:tc>
        <w:tc>
          <w:tcPr>
            <w:tcW w:type="dxa" w:w="1440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12.5%</w:t>
            </w:r>
          </w:p>
        </w:tc>
        <w:tc>
          <w:tcPr>
            <w:tcW w:type="dxa" w:w="1584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2</w:t>
            </w:r>
          </w:p>
        </w:tc>
        <w:tc>
          <w:tcPr>
            <w:tcW w:type="dxa" w:w="1296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3</w:t>
            </w:r>
          </w:p>
        </w:tc>
      </w:tr>
      <w:tr>
        <w:tc>
          <w:tcPr>
            <w:tcW w:type="dxa" w:w="3168"/>
            <w:vAlign w:val="center"/>
            <w:shd w:val="clear" w:color="auto" w:fill="F6E7EB"/>
            <w:tcBorders>
              <w:top w:val="single" w:sz="8" w:color="4A2545"/>
              <w:bottom w:val="single" w:sz="4" w:color="4A2545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8"/>
              </w:rPr>
              <w:t>All departments</w:t>
            </w:r>
          </w:p>
        </w:tc>
        <w:tc>
          <w:tcPr>
            <w:tcW w:type="dxa" w:w="1440"/>
            <w:vAlign w:val="center"/>
            <w:shd w:val="clear" w:color="auto" w:fill="F6E7EB"/>
            <w:tcBorders>
              <w:top w:val="single" w:sz="8" w:color="4A2545"/>
              <w:bottom w:val="single" w:sz="4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8"/>
              </w:rPr>
              <w:t>214</w:t>
            </w:r>
          </w:p>
        </w:tc>
        <w:tc>
          <w:tcPr>
            <w:tcW w:type="dxa" w:w="1152"/>
            <w:vAlign w:val="center"/>
            <w:shd w:val="clear" w:color="auto" w:fill="F6E7EB"/>
            <w:tcBorders>
              <w:top w:val="single" w:sz="8" w:color="4A2545"/>
              <w:bottom w:val="single" w:sz="4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8"/>
              </w:rPr>
              <w:t>41</w:t>
            </w:r>
          </w:p>
        </w:tc>
        <w:tc>
          <w:tcPr>
            <w:tcW w:type="dxa" w:w="1440"/>
            <w:vAlign w:val="center"/>
            <w:shd w:val="clear" w:color="auto" w:fill="F6E7EB"/>
            <w:tcBorders>
              <w:top w:val="single" w:sz="8" w:color="4A2545"/>
              <w:bottom w:val="single" w:sz="4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8"/>
              </w:rPr>
              <w:t>19.2%</w:t>
            </w:r>
          </w:p>
        </w:tc>
        <w:tc>
          <w:tcPr>
            <w:tcW w:type="dxa" w:w="1584"/>
            <w:vAlign w:val="center"/>
            <w:shd w:val="clear" w:color="auto" w:fill="F6E7EB"/>
            <w:tcBorders>
              <w:top w:val="single" w:sz="8" w:color="4A2545"/>
              <w:bottom w:val="single" w:sz="4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8"/>
              </w:rPr>
              <w:t>25</w:t>
            </w:r>
          </w:p>
        </w:tc>
        <w:tc>
          <w:tcPr>
            <w:tcW w:type="dxa" w:w="1296"/>
            <w:vAlign w:val="center"/>
            <w:shd w:val="clear" w:color="auto" w:fill="F6E7EB"/>
            <w:tcBorders>
              <w:top w:val="single" w:sz="8" w:color="4A2545"/>
              <w:bottom w:val="single" w:sz="4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8"/>
              </w:rPr>
              <w:t>22</w:t>
            </w:r>
          </w:p>
        </w:tc>
      </w:tr>
    </w:tbl>
    <w:p>
      <w:pPr>
        <w:spacing w:before="120" w:after="100"/>
        <w:jc w:val="left"/>
      </w:pPr>
      <w:r>
        <w:rPr>
          <w:rFonts w:ascii="Segoe UI" w:hAnsi="Segoe UI" w:eastAsia="Segoe UI" w:cs="Segoe UI"/>
          <w:b w:val="0"/>
          <w:i w:val="0"/>
          <w:color w:val="2B2230"/>
          <w:sz w:val="18"/>
        </w:rPr>
        <w:t>Home care aides account for 21 of 41 exits and 16 of the 25 first-year leavers. Scheduling &amp; Intake looks high at 21%, but that is four people on a team of 19.</w:t>
      </w:r>
    </w:p>
    <w:p>
      <w:pPr>
        <w:keepNext/>
        <w:pageBreakBefore w:val="0"/>
        <w:spacing w:before="280" w:after="120"/>
      </w:pPr>
      <w:r>
        <w:rPr>
          <w:rFonts w:ascii="Georgia" w:hAnsi="Georgia" w:eastAsia="Georgia" w:cs="Georgia"/>
          <w:b/>
          <w:color w:val="4A2545"/>
          <w:sz w:val="28"/>
        </w:rPr>
        <w:t>Why people left</w:t>
      </w:r>
    </w:p>
    <w:p>
      <w:pPr>
        <w:pStyle w:val="ListBullet"/>
        <w:spacing w:after="60"/>
      </w:pPr>
      <w:r>
        <w:rPr>
          <w:b/>
          <w:color w:val="4A2545"/>
          <w:sz w:val="19"/>
        </w:rPr>
        <w:t xml:space="preserve">Pay / better offer – </w:t>
      </w:r>
      <w:r>
        <w:rPr>
          <w:b w:val="0"/>
          <w:sz w:val="19"/>
        </w:rPr>
        <w:t>10 exits. Most went to a hospital system or a competitor paying $1.50–$2.00 more per hour for aides.</w:t>
      </w:r>
    </w:p>
    <w:p>
      <w:pPr>
        <w:pStyle w:val="ListBullet"/>
        <w:spacing w:after="60"/>
      </w:pPr>
      <w:r>
        <w:rPr>
          <w:b/>
          <w:color w:val="4A2545"/>
          <w:sz w:val="19"/>
        </w:rPr>
        <w:t xml:space="preserve">Schedule / hours – </w:t>
      </w:r>
      <w:r>
        <w:rPr>
          <w:b w:val="0"/>
          <w:sz w:val="19"/>
        </w:rPr>
        <w:t>7 exits. Split shifts and last-minute visit changes came up in almost every interview.</w:t>
      </w:r>
    </w:p>
    <w:p>
      <w:pPr>
        <w:pStyle w:val="ListBullet"/>
        <w:spacing w:after="60"/>
      </w:pPr>
      <w:r>
        <w:rPr>
          <w:b/>
          <w:color w:val="4A2545"/>
          <w:sz w:val="19"/>
        </w:rPr>
        <w:t xml:space="preserve">Career growth – </w:t>
      </w:r>
      <w:r>
        <w:rPr>
          <w:b w:val="0"/>
          <w:sz w:val="19"/>
        </w:rPr>
        <w:t>4 exits, all aides who left to start nursing programs or CNA roles we could not offer.</w:t>
      </w:r>
    </w:p>
    <w:p>
      <w:pPr>
        <w:pStyle w:val="ListBullet"/>
        <w:spacing w:after="60"/>
      </w:pPr>
      <w:r>
        <w:rPr>
          <w:b/>
          <w:color w:val="4A2545"/>
          <w:sz w:val="19"/>
        </w:rPr>
        <w:t xml:space="preserve">Involuntary – </w:t>
      </w:r>
      <w:r>
        <w:rPr>
          <w:b w:val="0"/>
          <w:sz w:val="19"/>
        </w:rPr>
        <w:t>10 exits for attendance, performance or policy reasons, half of them in the first year.</w:t>
      </w:r>
    </w:p>
    <w:p>
      <w:pPr>
        <w:spacing w:before="120" w:after="80"/>
        <w:ind w:left="432"/>
        <w:jc w:val="left"/>
        <w:pBdr>
          <w:left w:val="single" w:sz="18" w:space="8" w:color="C97B8E"/>
        </w:pBdr>
      </w:pPr>
      <w:r>
        <w:rPr>
          <w:rFonts w:ascii="Georgia" w:hAnsi="Georgia" w:eastAsia="Georgia" w:cs="Georgia"/>
          <w:b w:val="0"/>
          <w:i/>
          <w:color w:val="4A2545"/>
          <w:sz w:val="18"/>
        </w:rPr>
        <w:t>“I liked the clients. I didn’t like finding out at 9 pm that tomorrow’s first visit was 40 minutes away.”  – Home health aide, exit interview, August</w:t>
      </w:r>
    </w:p>
    <w:p>
      <w:pPr>
        <w:keepNext/>
        <w:pageBreakBefore w:val="0"/>
        <w:spacing w:before="280" w:after="120"/>
      </w:pPr>
      <w:r>
        <w:rPr>
          <w:rFonts w:ascii="Georgia" w:hAnsi="Georgia" w:eastAsia="Georgia" w:cs="Georgia"/>
          <w:b/>
          <w:color w:val="4A2545"/>
          <w:sz w:val="28"/>
        </w:rPr>
        <w:t>What we are doing about it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5" w:type="dxa"/>
          <w:left w:w="80" w:type="dxa"/>
          <w:bottom w:w="55" w:type="dxa"/>
          <w:right w:w="80" w:type="dxa"/>
        </w:tblCellMar>
        <w:tblLayout w:type="fixed"/>
      </w:tblPr>
      <w:tblGrid>
        <w:gridCol w:w="5184"/>
        <w:gridCol w:w="2160"/>
        <w:gridCol w:w="1296"/>
        <w:gridCol w:w="1440"/>
      </w:tblGrid>
      <w:tr>
        <w:tc>
          <w:tcPr>
            <w:tcW w:type="dxa" w:w="5184"/>
            <w:vAlign w:val="center"/>
            <w:tcBorders>
              <w:top w:val="single" w:sz="8" w:color="4A2545"/>
              <w:bottom w:val="single" w:sz="8" w:color="4A2545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6"/>
              </w:rPr>
              <w:t>Action</w:t>
            </w:r>
          </w:p>
        </w:tc>
        <w:tc>
          <w:tcPr>
            <w:tcW w:type="dxa" w:w="2160"/>
            <w:vAlign w:val="center"/>
            <w:tcBorders>
              <w:top w:val="single" w:sz="8" w:color="4A2545"/>
              <w:bottom w:val="single" w:sz="8" w:color="4A2545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6"/>
              </w:rPr>
              <w:t>Owner</w:t>
            </w:r>
          </w:p>
        </w:tc>
        <w:tc>
          <w:tcPr>
            <w:tcW w:type="dxa" w:w="1296"/>
            <w:vAlign w:val="center"/>
            <w:tcBorders>
              <w:top w:val="single" w:sz="8" w:color="4A2545"/>
              <w:bottom w:val="single" w:sz="8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6"/>
              </w:rPr>
              <w:t>Due</w:t>
            </w:r>
          </w:p>
        </w:tc>
        <w:tc>
          <w:tcPr>
            <w:tcW w:type="dxa" w:w="1440"/>
            <w:vAlign w:val="center"/>
            <w:tcBorders>
              <w:top w:val="single" w:sz="8" w:color="4A2545"/>
              <w:bottom w:val="single" w:sz="8" w:color="4A2545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/>
                <w:i w:val="0"/>
                <w:color w:val="4A2545"/>
                <w:sz w:val="16"/>
              </w:rPr>
              <w:t>Status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Raise aide starting rate to $18.50 and add a $500 bonus at 6 and 12 months</w:t>
            </w:r>
          </w:p>
        </w:tc>
        <w:tc>
          <w:tcPr>
            <w:tcW w:type="dxa" w:w="2160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D. Whitlock / Finance</w:t>
            </w:r>
          </w:p>
        </w:tc>
        <w:tc>
          <w:tcPr>
            <w:tcW w:type="dxa" w:w="1296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Nov 1</w:t>
            </w:r>
          </w:p>
        </w:tc>
        <w:tc>
          <w:tcPr>
            <w:tcW w:type="dxa" w:w="1440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Approved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Lock aide schedules 7 days ahead; changes after that need a coordinator sign-off</w:t>
            </w:r>
          </w:p>
        </w:tc>
        <w:tc>
          <w:tcPr>
            <w:tcW w:type="dxa" w:w="2160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Scheduling lead</w:t>
            </w:r>
          </w:p>
        </w:tc>
        <w:tc>
          <w:tcPr>
            <w:tcW w:type="dxa" w:w="1296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Oct 20</w:t>
            </w:r>
          </w:p>
        </w:tc>
        <w:tc>
          <w:tcPr>
            <w:tcW w:type="dxa" w:w="1440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In progress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Cluster visits by zip code to cut drive time between clients</w:t>
            </w:r>
          </w:p>
        </w:tc>
        <w:tc>
          <w:tcPr>
            <w:tcW w:type="dxa" w:w="2160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Ops manager</w:t>
            </w:r>
          </w:p>
        </w:tc>
        <w:tc>
          <w:tcPr>
            <w:tcW w:type="dxa" w:w="1296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Dec 15</w:t>
            </w:r>
          </w:p>
        </w:tc>
        <w:tc>
          <w:tcPr>
            <w:tcW w:type="dxa" w:w="1440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Planning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30-60-90 day check-ins for every new hire, logged in the HRIS</w:t>
            </w:r>
          </w:p>
        </w:tc>
        <w:tc>
          <w:tcPr>
            <w:tcW w:type="dxa" w:w="2160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Branch managers</w:t>
            </w:r>
          </w:p>
        </w:tc>
        <w:tc>
          <w:tcPr>
            <w:tcW w:type="dxa" w:w="1296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Oct 15</w:t>
            </w:r>
          </w:p>
        </w:tc>
        <w:tc>
          <w:tcPr>
            <w:tcW w:type="dxa" w:w="1440"/>
            <w:vAlign w:val="center"/>
            <w:tcBorders>
              <w:bottom w:val="single" w:sz="4" w:color="E7D9DE"/>
            </w:tcBorders>
            <w:shd w:val="clear" w:color="auto" w:fill="FBF7F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In progress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Tuition support for aides entering LPN/RN programs who commit to stay</w:t>
            </w:r>
          </w:p>
        </w:tc>
        <w:tc>
          <w:tcPr>
            <w:tcW w:type="dxa" w:w="2160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D. Whitlock</w:t>
            </w:r>
          </w:p>
        </w:tc>
        <w:tc>
          <w:tcPr>
            <w:tcW w:type="dxa" w:w="1296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Jan 2027</w:t>
            </w:r>
          </w:p>
        </w:tc>
        <w:tc>
          <w:tcPr>
            <w:tcW w:type="dxa" w:w="1440"/>
            <w:vAlign w:val="center"/>
            <w:tcBorders>
              <w:bottom w:val="single" w:sz="4" w:color="E7D9DE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  <w:t>Proposal</w:t>
            </w:r>
          </w:p>
        </w:tc>
      </w:tr>
    </w:tbl>
    <w:p>
      <w:pPr>
        <w:keepNext/>
        <w:pageBreakBefore w:val="0"/>
        <w:spacing w:before="280" w:after="120"/>
      </w:pPr>
      <w:r>
        <w:rPr>
          <w:rFonts w:ascii="Georgia" w:hAnsi="Georgia" w:eastAsia="Georgia" w:cs="Georgia"/>
          <w:b/>
          <w:color w:val="4A2545"/>
          <w:sz w:val="28"/>
        </w:rPr>
        <w:t>What to watch in Q4</w:t>
      </w:r>
    </w:p>
    <w:p>
      <w:pPr>
        <w:pStyle w:val="ListBullet"/>
        <w:spacing w:after="60"/>
      </w:pPr>
      <w:r>
        <w:rPr>
          <w:sz w:val="19"/>
        </w:rPr>
        <w:t>First-year exits among aides hired after the November pay change. Target: fewer than 5 for the quarter.</w:t>
      </w:r>
    </w:p>
    <w:p>
      <w:pPr>
        <w:pStyle w:val="ListBullet"/>
        <w:spacing w:after="60"/>
      </w:pPr>
      <w:r>
        <w:rPr>
          <w:sz w:val="19"/>
        </w:rPr>
        <w:t>Exit interview completion: 77% over the year. Target 90%, so the reasons above rest on more than a handful of people.</w:t>
      </w:r>
    </w:p>
    <w:p>
      <w:pPr>
        <w:pStyle w:val="ListBullet"/>
        <w:spacing w:after="60"/>
      </w:pPr>
      <w:r>
        <w:rPr>
          <w:sz w:val="19"/>
        </w:rPr>
        <w:t>Field Nursing: 7 regrettable losses in 12 months. Two more and we start losing coverage in the northern territory.</w:t>
      </w:r>
    </w:p>
    <w:p>
      <w:pPr>
        <w:pStyle w:val="ListBullet"/>
        <w:spacing w:after="60"/>
      </w:pPr>
      <w:r>
        <w:rPr>
          <w:sz w:val="19"/>
        </w:rPr>
        <w:t>Holiday weeks. December tied with August as our worst month of the year (5 exits each).</w:t>
      </w:r>
    </w:p>
    <w:p>
      <w:pPr>
        <w:spacing w:before="0" w:after="160"/>
        <w:jc w:val="left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ayout w:type="fixed"/>
      </w:tblPr>
      <w:tblGrid>
        <w:gridCol w:w="3744"/>
        <w:gridCol w:w="3744"/>
        <w:gridCol w:w="2592"/>
      </w:tblGrid>
      <w:tr>
        <w:tc>
          <w:tcPr>
            <w:tcW w:type="dxa" w:w="37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/>
                <w:i w:val="0"/>
                <w:color w:val="B05F74"/>
                <w:sz w:val="14"/>
              </w:rPr>
              <w:t>PREPARED BY</w:t>
            </w:r>
          </w:p>
        </w:tc>
        <w:tc>
          <w:tcPr>
            <w:tcW w:type="dxa" w:w="37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/>
                <w:i w:val="0"/>
                <w:color w:val="B05F74"/>
                <w:sz w:val="14"/>
              </w:rPr>
              <w:t>REVIEWED BY</w:t>
            </w:r>
          </w:p>
        </w:tc>
        <w:tc>
          <w:tcPr>
            <w:tcW w:type="dxa" w:w="25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/>
                <w:i w:val="0"/>
                <w:color w:val="B05F74"/>
                <w:sz w:val="14"/>
              </w:rPr>
              <w:t>DATE</w:t>
            </w:r>
          </w:p>
        </w:tc>
      </w:tr>
      <w:tr>
        <w:trPr>
          <w:trHeight w:val="380"/>
          <w:trHeight w:val="380"/>
          <w:trHeight w:val="380"/>
        </w:trPr>
        <w:tc>
          <w:tcPr>
            <w:tcW w:type="dxa" w:w="3744"/>
            <w:vAlign w:val="center"/>
            <w:tcBorders>
              <w:bottom w:val="single" w:sz="6" w:color="4A2545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</w:r>
          </w:p>
        </w:tc>
        <w:tc>
          <w:tcPr>
            <w:tcW w:type="dxa" w:w="3744"/>
            <w:vAlign w:val="center"/>
            <w:tcBorders>
              <w:bottom w:val="single" w:sz="6" w:color="4A2545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</w:r>
          </w:p>
        </w:tc>
        <w:tc>
          <w:tcPr>
            <w:tcW w:type="dxa" w:w="2592"/>
            <w:vAlign w:val="center"/>
            <w:tcBorders>
              <w:bottom w:val="single" w:sz="6" w:color="4A2545"/>
            </w:tcBorders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2B2230"/>
                <w:sz w:val="18"/>
              </w:rPr>
            </w:r>
          </w:p>
        </w:tc>
      </w:tr>
      <w:tr>
        <w:tc>
          <w:tcPr>
            <w:tcW w:type="dxa" w:w="37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8A7A86"/>
                <w:sz w:val="17"/>
              </w:rPr>
              <w:t>Dana Whitlock, HR Manager</w:t>
            </w:r>
          </w:p>
        </w:tc>
        <w:tc>
          <w:tcPr>
            <w:tcW w:type="dxa" w:w="37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8A7A86"/>
                <w:sz w:val="17"/>
              </w:rPr>
              <w:t>Robert Okafor, COO</w:t>
            </w:r>
          </w:p>
        </w:tc>
        <w:tc>
          <w:tcPr>
            <w:tcW w:type="dxa" w:w="25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Segoe UI" w:hAnsi="Segoe UI" w:eastAsia="Segoe UI" w:cs="Segoe UI"/>
                <w:b w:val="0"/>
                <w:i w:val="0"/>
                <w:color w:val="8A7A86"/>
                <w:sz w:val="17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4" w:color="C97B8E"/>
      </w:pBdr>
      <w:tabs>
        <w:tab w:val="right" w:pos="10080"/>
      </w:tabs>
    </w:pPr>
    <w:r>
      <w:rPr>
        <w:color w:val="8A7A86"/>
        <w:sz w:val="15"/>
      </w:rPr>
      <w:t>Northfield Home Health  ·  Employee Turnover Report, Q3 2026  ·  Confidential</w:t>
      <w:tab/>
      <w:t xml:space="preserve">Page </w:t>
    </w:r>
    <w:r>
      <w:rPr>
        <w:color w:val="8A7A86"/>
        <w:sz w:val="15"/>
      </w:rPr>
      <w:fldChar w:fldCharType="begin"/>
    </w:r>
    <w:r>
      <w:rPr>
        <w:color w:val="8A7A86"/>
        <w:sz w:val="15"/>
      </w:rPr>
      <w:instrText xml:space="preserve">PAGE</w:instrText>
    </w:r>
    <w:r>
      <w:rPr>
        <w:color w:val="8A7A86"/>
        <w:sz w:val="15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Segoe UI" w:hAnsi="Segoe UI" w:eastAsia="Segoe UI" w:cs="Segoe UI"/>
      <w:color w:val="2B22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Turnover Report – Quarterly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