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50" w:type="dxa"/>
          <w:left w:w="200" w:type="dxa"/>
          <w:bottom w:w="150" w:type="dxa"/>
          <w:right w:w="200" w:type="dxa"/>
        </w:tblCellMar>
      </w:tblPr>
      <w:tblGrid>
        <w:gridCol w:w="10080"/>
      </w:tblGrid>
      <w:tr>
        <w:tc>
          <w:tcPr>
            <w:tcW w:type="dxa" w:w="10080"/>
            <w:shd w:val="clear" w:color="auto" w:fill="6B2E1F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D9C08C"/>
                <w:sz w:val="16"/>
              </w:rPr>
              <w:t>QUARTERLY REPORT · Q3 2026</w:t>
            </w:r>
          </w:p>
          <w:p>
            <w:r>
              <w:rPr>
                <w:rFonts w:ascii="Palatino Linotype" w:hAnsi="Palatino Linotype" w:cs="Palatino Linotype" w:eastAsia="Palatino Linotype"/>
                <w:b/>
                <w:i w:val="0"/>
                <w:color w:val="FFFFFF"/>
                <w:sz w:val="44"/>
              </w:rPr>
              <w:t>Hollis &amp; Grey Coffee Roasters</w:t>
            </w:r>
          </w:p>
          <w:p>
            <w:r>
              <w:rPr>
                <w:rFonts w:ascii="Lucida Sans" w:hAnsi="Lucida Sans" w:cs="Lucida Sans" w:eastAsia="Lucida Sans"/>
                <w:b w:val="0"/>
                <w:i w:val="0"/>
                <w:color w:val="EBDDD3"/>
                <w:sz w:val="17"/>
              </w:rPr>
              <w:t>July–September 2026 · for the owners' review on 21 October · illustrative sample</w:t>
            </w:r>
          </w:p>
        </w:tc>
      </w:tr>
    </w:tbl>
    <w:p>
      <w:pPr>
        <w:spacing w:before="240" w:after="80"/>
        <w:pBdr>
          <w:bottom w:val="single" w:sz="6" w:space="2" w:color="D9C08C"/>
        </w:pBdr>
      </w:pPr>
      <w:r>
        <w:rPr>
          <w:rFonts w:ascii="Palatino Linotype" w:hAnsi="Palatino Linotype" w:cs="Palatino Linotype" w:eastAsia="Palatino Linotype"/>
          <w:b/>
          <w:i w:val="0"/>
          <w:color w:val="4A1F14"/>
          <w:sz w:val="26"/>
        </w:rPr>
        <w:t>The quarter in three sentences</w:t>
      </w:r>
    </w:p>
    <w:p>
      <w:pPr>
        <w:spacing w:after="80" w:line="276" w:lineRule="auto"/>
      </w:pPr>
      <w:r>
        <w:rPr>
          <w:rFonts w:ascii="Lucida Sans" w:hAnsi="Lucida Sans" w:cs="Lucida Sans" w:eastAsia="Lucida Sans"/>
          <w:b w:val="0"/>
          <w:i w:val="0"/>
          <w:sz w:val="18"/>
        </w:rPr>
        <w:t>Revenue reached $719,400, up 7.5% on Q2 and 12.4% on Q3 last year, but 2% short of the $735,000 target because café sales dipped in September while the street works on Mill Road blocked foot traffic. Gross margin improved to 44.3% once the new green-coffee contract started in July, and operating margin rose to 14.2%. Wholesale is now the engine: 14 new accounts against a target of 12, and September was our best wholesale month on record.</w:t>
      </w:r>
    </w:p>
    <w:p>
      <w:pPr>
        <w:spacing w:before="240" w:after="80"/>
        <w:pBdr>
          <w:bottom w:val="single" w:sz="6" w:space="2" w:color="D9C08C"/>
        </w:pBdr>
      </w:pPr>
      <w:r>
        <w:rPr>
          <w:rFonts w:ascii="Palatino Linotype" w:hAnsi="Palatino Linotype" w:cs="Palatino Linotype" w:eastAsia="Palatino Linotype"/>
          <w:b/>
          <w:i w:val="0"/>
          <w:color w:val="4A1F14"/>
          <w:sz w:val="26"/>
        </w:rPr>
        <w:t>Scorecard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3311"/>
        <w:gridCol w:w="1512"/>
        <w:gridCol w:w="1440"/>
        <w:gridCol w:w="1512"/>
        <w:gridCol w:w="2304"/>
      </w:tblGrid>
      <w:tr>
        <w:tc>
          <w:tcPr>
            <w:tcW w:type="dxa" w:w="3312"/>
            <w:shd w:val="clear" w:color="auto" w:fill="4A1F14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1512"/>
            <w:shd w:val="clear" w:color="auto" w:fill="4A1F14"/>
            <w:vAlign w:val="center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FFFFFF"/>
                <w:sz w:val="16"/>
              </w:rPr>
              <w:t>Q3</w:t>
            </w:r>
          </w:p>
        </w:tc>
        <w:tc>
          <w:tcPr>
            <w:tcW w:type="dxa" w:w="1440"/>
            <w:shd w:val="clear" w:color="auto" w:fill="4A1F14"/>
            <w:vAlign w:val="center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FFFFFF"/>
                <w:sz w:val="16"/>
              </w:rPr>
              <w:t>vs Q2</w:t>
            </w:r>
          </w:p>
        </w:tc>
        <w:tc>
          <w:tcPr>
            <w:tcW w:type="dxa" w:w="1512"/>
            <w:shd w:val="clear" w:color="auto" w:fill="4A1F14"/>
            <w:vAlign w:val="center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FFFFFF"/>
                <w:sz w:val="16"/>
              </w:rPr>
              <w:t>Target</w:t>
            </w:r>
          </w:p>
        </w:tc>
        <w:tc>
          <w:tcPr>
            <w:tcW w:type="dxa" w:w="2304"/>
            <w:shd w:val="clear" w:color="auto" w:fill="4A1F14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3312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Revenue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2B201C"/>
                <w:sz w:val="17"/>
              </w:rPr>
              <w:t>$719,400</w:t>
            </w:r>
          </w:p>
        </w:tc>
        <w:tc>
          <w:tcPr>
            <w:tcW w:type="dxa" w:w="1440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+7.5%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$735,000</w:t>
            </w:r>
          </w:p>
        </w:tc>
        <w:tc>
          <w:tcPr>
            <w:tcW w:type="dxa" w:w="230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A8322A"/>
                <w:sz w:val="17"/>
              </w:rPr>
              <w:t>2% short</w:t>
            </w:r>
          </w:p>
        </w:tc>
      </w:tr>
      <w:tr>
        <w:tc>
          <w:tcPr>
            <w:tcW w:type="dxa" w:w="33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Gross margin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2B201C"/>
                <w:sz w:val="17"/>
              </w:rPr>
              <w:t>44.3%</w:t>
            </w:r>
          </w:p>
        </w:tc>
        <w:tc>
          <w:tcPr>
            <w:tcW w:type="dxa" w:w="1440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+1.2 pts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44.0%</w:t>
            </w:r>
          </w:p>
        </w:tc>
        <w:tc>
          <w:tcPr>
            <w:tcW w:type="dxa" w:w="2304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3E7247"/>
                <w:sz w:val="17"/>
              </w:rPr>
              <w:t>Met</w:t>
            </w:r>
          </w:p>
        </w:tc>
      </w:tr>
      <w:tr>
        <w:tc>
          <w:tcPr>
            <w:tcW w:type="dxa" w:w="3312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Operating margin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2B201C"/>
                <w:sz w:val="17"/>
              </w:rPr>
              <w:t>14.2%</w:t>
            </w:r>
          </w:p>
        </w:tc>
        <w:tc>
          <w:tcPr>
            <w:tcW w:type="dxa" w:w="1440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+1.9 pts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14.0%</w:t>
            </w:r>
          </w:p>
        </w:tc>
        <w:tc>
          <w:tcPr>
            <w:tcW w:type="dxa" w:w="230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3E7247"/>
                <w:sz w:val="17"/>
              </w:rPr>
              <w:t>Met</w:t>
            </w:r>
          </w:p>
        </w:tc>
      </w:tr>
      <w:tr>
        <w:tc>
          <w:tcPr>
            <w:tcW w:type="dxa" w:w="33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New wholesale accounts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2B201C"/>
                <w:sz w:val="17"/>
              </w:rPr>
              <w:t>14</w:t>
            </w:r>
          </w:p>
        </w:tc>
        <w:tc>
          <w:tcPr>
            <w:tcW w:type="dxa" w:w="1440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+5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12</w:t>
            </w:r>
          </w:p>
        </w:tc>
        <w:tc>
          <w:tcPr>
            <w:tcW w:type="dxa" w:w="2304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3E7247"/>
                <w:sz w:val="17"/>
              </w:rPr>
              <w:t>Met</w:t>
            </w:r>
          </w:p>
        </w:tc>
      </w:tr>
      <w:tr>
        <w:tc>
          <w:tcPr>
            <w:tcW w:type="dxa" w:w="3312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Wholesale retention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2B201C"/>
                <w:sz w:val="17"/>
              </w:rPr>
              <w:t>91%</w:t>
            </w:r>
          </w:p>
        </w:tc>
        <w:tc>
          <w:tcPr>
            <w:tcW w:type="dxa" w:w="1440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−2 pts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92%</w:t>
            </w:r>
          </w:p>
        </w:tc>
        <w:tc>
          <w:tcPr>
            <w:tcW w:type="dxa" w:w="230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A8322A"/>
                <w:sz w:val="17"/>
              </w:rPr>
              <w:t>1 pt short</w:t>
            </w:r>
          </w:p>
        </w:tc>
      </w:tr>
      <w:tr>
        <w:tc>
          <w:tcPr>
            <w:tcW w:type="dxa" w:w="33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Online orders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/>
                <w:i w:val="0"/>
                <w:color w:val="2B201C"/>
                <w:sz w:val="17"/>
              </w:rPr>
              <w:t>3,180</w:t>
            </w:r>
          </w:p>
        </w:tc>
        <w:tc>
          <w:tcPr>
            <w:tcW w:type="dxa" w:w="1440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+8.2%</w:t>
            </w:r>
          </w:p>
        </w:tc>
        <w:tc>
          <w:tcPr>
            <w:tcW w:type="dxa" w:w="1512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pPr>
              <w:jc w:val="right"/>
            </w:pPr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3,300</w:t>
            </w:r>
          </w:p>
        </w:tc>
        <w:tc>
          <w:tcPr>
            <w:tcW w:type="dxa" w:w="2304"/>
            <w:vAlign w:val="center"/>
            <w:tcBorders>
              <w:bottom w:val="single" w:sz="4" w:color="E2D8C6" w:space="0"/>
            </w:tcBorders>
            <w:shd w:val="clear" w:color="auto" w:fill="F6EFDF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A8322A"/>
                <w:sz w:val="17"/>
              </w:rPr>
              <w:t>4% short</w:t>
            </w:r>
          </w:p>
        </w:tc>
      </w:tr>
    </w:tbl>
    <w:p>
      <w:pPr>
        <w:spacing w:before="240" w:after="80"/>
        <w:pBdr>
          <w:bottom w:val="single" w:sz="6" w:space="2" w:color="D9C08C"/>
        </w:pBdr>
      </w:pPr>
      <w:r>
        <w:rPr>
          <w:rFonts w:ascii="Palatino Linotype" w:hAnsi="Palatino Linotype" w:cs="Palatino Linotype" w:eastAsia="Palatino Linotype"/>
          <w:b/>
          <w:i w:val="0"/>
          <w:color w:val="4A1F14"/>
          <w:sz w:val="26"/>
        </w:rPr>
        <w:t>What drove the numbers</w:t>
      </w:r>
    </w:p>
    <w:p>
      <w:pPr>
        <w:pStyle w:val="ListBullet"/>
        <w:spacing w:after="60"/>
      </w:pPr>
      <w:r>
        <w:rPr>
          <w:rFonts w:ascii="Lucida Sans" w:hAnsi="Lucida Sans" w:cs="Lucida Sans" w:eastAsia="Lucida Sans"/>
          <w:b/>
          <w:i w:val="0"/>
          <w:color w:val="4A1F14"/>
          <w:sz w:val="18"/>
        </w:rPr>
        <w:t>Wholesale up 9.6% on Q2.</w:t>
      </w:r>
      <w:r>
        <w:rPr>
          <w:rFonts w:ascii="Lucida Sans" w:hAnsi="Lucida Sans" w:cs="Lucida Sans" w:eastAsia="Lucida Sans"/>
          <w:b w:val="0"/>
          <w:i w:val="0"/>
          <w:sz w:val="18"/>
        </w:rPr>
        <w:t xml:space="preserve"> Seven new accounts in September alone, mostly offices returning to five-day weeks. Two of them (Lumen Co-working, Fairway Hotels) ordered above $3,000 in their first month.</w:t>
      </w:r>
    </w:p>
    <w:p>
      <w:pPr>
        <w:pStyle w:val="ListBullet"/>
        <w:spacing w:after="60"/>
      </w:pPr>
      <w:r>
        <w:rPr>
          <w:rFonts w:ascii="Lucida Sans" w:hAnsi="Lucida Sans" w:cs="Lucida Sans" w:eastAsia="Lucida Sans"/>
          <w:b/>
          <w:i w:val="0"/>
          <w:color w:val="4A1F14"/>
          <w:sz w:val="18"/>
        </w:rPr>
        <w:t>Café down 9.9% in September vs August.</w:t>
      </w:r>
      <w:r>
        <w:rPr>
          <w:rFonts w:ascii="Lucida Sans" w:hAnsi="Lucida Sans" w:cs="Lucida Sans" w:eastAsia="Lucida Sans"/>
          <w:b w:val="0"/>
          <w:i w:val="0"/>
          <w:sz w:val="18"/>
        </w:rPr>
        <w:t xml:space="preserve"> Mill Road street works ran from 2 to 27 September. Weekday transactions fell from about 410 to 330 a day, and October is already back to 400.</w:t>
      </w:r>
    </w:p>
    <w:p>
      <w:pPr>
        <w:pStyle w:val="ListBullet"/>
        <w:spacing w:after="60"/>
      </w:pPr>
      <w:r>
        <w:rPr>
          <w:rFonts w:ascii="Lucida Sans" w:hAnsi="Lucida Sans" w:cs="Lucida Sans" w:eastAsia="Lucida Sans"/>
          <w:b/>
          <w:i w:val="0"/>
          <w:color w:val="4A1F14"/>
          <w:sz w:val="18"/>
        </w:rPr>
        <w:t>Margin gain from the green-coffee contract.</w:t>
      </w:r>
      <w:r>
        <w:rPr>
          <w:rFonts w:ascii="Lucida Sans" w:hAnsi="Lucida Sans" w:cs="Lucida Sans" w:eastAsia="Lucida Sans"/>
          <w:b w:val="0"/>
          <w:i w:val="0"/>
          <w:sz w:val="18"/>
        </w:rPr>
        <w:t xml:space="preserve"> The 12-month Colombian contract signed in June is $0.41/lb under spot. That alone is worth about $5,100 a quarter.</w:t>
      </w:r>
    </w:p>
    <w:p>
      <w:pPr>
        <w:spacing w:before="240" w:after="80"/>
        <w:pBdr>
          <w:bottom w:val="single" w:sz="6" w:space="2" w:color="D9C08C"/>
        </w:pBdr>
      </w:pPr>
      <w:r>
        <w:rPr>
          <w:rFonts w:ascii="Palatino Linotype" w:hAnsi="Palatino Linotype" w:cs="Palatino Linotype" w:eastAsia="Palatino Linotype"/>
          <w:b/>
          <w:i w:val="0"/>
          <w:color w:val="4A1F14"/>
          <w:sz w:val="26"/>
        </w:rPr>
        <w:t>What didn't work</w:t>
      </w:r>
    </w:p>
    <w:p>
      <w:pPr>
        <w:spacing w:after="80" w:line="276" w:lineRule="auto"/>
      </w:pPr>
      <w:r>
        <w:rPr>
          <w:rFonts w:ascii="Lucida Sans" w:hAnsi="Lucida Sans" w:cs="Lucida Sans" w:eastAsia="Lucida Sans"/>
          <w:b w:val="0"/>
          <w:i w:val="0"/>
          <w:sz w:val="18"/>
        </w:rPr>
        <w:t>Wholesale retention slipped to 91%. We lost three accounts: two cafés that closed and one office that moved to a competitor on price. The online subscription relaunch went live three weeks late (14 Aug instead of 24 Jul), which explains most of the shortfall in online orders.</w:t>
      </w:r>
    </w:p>
    <w:p>
      <w:pPr>
        <w:spacing w:before="240" w:after="80"/>
        <w:pBdr>
          <w:bottom w:val="single" w:sz="6" w:space="2" w:color="D9C08C"/>
        </w:pBdr>
      </w:pPr>
      <w:r>
        <w:rPr>
          <w:rFonts w:ascii="Palatino Linotype" w:hAnsi="Palatino Linotype" w:cs="Palatino Linotype" w:eastAsia="Palatino Linotype"/>
          <w:b/>
          <w:i w:val="0"/>
          <w:color w:val="4A1F14"/>
          <w:sz w:val="26"/>
        </w:rPr>
        <w:t>Q4 priorities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ayout w:type="fixed"/>
      </w:tblPr>
      <w:tblGrid>
        <w:gridCol w:w="432"/>
        <w:gridCol w:w="3960"/>
        <w:gridCol w:w="1224"/>
        <w:gridCol w:w="2880"/>
        <w:gridCol w:w="864"/>
      </w:tblGrid>
      <w:tr>
        <w:tc>
          <w:tcPr>
            <w:tcW w:type="dxa" w:w="432"/>
            <w:shd w:val="clear" w:color="auto" w:fill="D9C08C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4A1F14"/>
                <w:sz w:val="16"/>
              </w:rPr>
              <w:t>#</w:t>
            </w:r>
          </w:p>
        </w:tc>
        <w:tc>
          <w:tcPr>
            <w:tcW w:type="dxa" w:w="3960"/>
            <w:shd w:val="clear" w:color="auto" w:fill="D9C08C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4A1F14"/>
                <w:sz w:val="16"/>
              </w:rPr>
              <w:t>Priority</w:t>
            </w:r>
          </w:p>
        </w:tc>
        <w:tc>
          <w:tcPr>
            <w:tcW w:type="dxa" w:w="1224"/>
            <w:shd w:val="clear" w:color="auto" w:fill="D9C08C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4A1F14"/>
                <w:sz w:val="16"/>
              </w:rPr>
              <w:t>Owner</w:t>
            </w:r>
          </w:p>
        </w:tc>
        <w:tc>
          <w:tcPr>
            <w:tcW w:type="dxa" w:w="2880"/>
            <w:shd w:val="clear" w:color="auto" w:fill="D9C08C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4A1F14"/>
                <w:sz w:val="16"/>
              </w:rPr>
              <w:t>Success measure</w:t>
            </w:r>
          </w:p>
        </w:tc>
        <w:tc>
          <w:tcPr>
            <w:tcW w:type="dxa" w:w="864"/>
            <w:shd w:val="clear" w:color="auto" w:fill="D9C08C"/>
            <w:vAlign w:val="center"/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4A1F14"/>
                <w:sz w:val="16"/>
              </w:rPr>
              <w:t>By</w:t>
            </w:r>
          </w:p>
        </w:tc>
      </w:tr>
      <w:tr>
        <w:tc>
          <w:tcPr>
            <w:tcW w:type="dxa" w:w="432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6B2E1F"/>
                <w:sz w:val="17"/>
              </w:rPr>
              <w:t>1</w:t>
            </w:r>
          </w:p>
        </w:tc>
        <w:tc>
          <w:tcPr>
            <w:tcW w:type="dxa" w:w="3960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Hit 12 more wholesale accounts, targeting offices and hotels</w:t>
            </w:r>
          </w:p>
        </w:tc>
        <w:tc>
          <w:tcPr>
            <w:tcW w:type="dxa" w:w="122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M. Grey</w:t>
            </w:r>
          </w:p>
        </w:tc>
        <w:tc>
          <w:tcPr>
            <w:tcW w:type="dxa" w:w="2880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12 new; ≥ $2,500 avg monthly order</w:t>
            </w:r>
          </w:p>
        </w:tc>
        <w:tc>
          <w:tcPr>
            <w:tcW w:type="dxa" w:w="86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31 Dec</w:t>
            </w:r>
          </w:p>
        </w:tc>
      </w:tr>
      <w:tr>
        <w:tc>
          <w:tcPr>
            <w:tcW w:type="dxa" w:w="432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6B2E1F"/>
                <w:sz w:val="17"/>
              </w:rPr>
              <w:t>2</w:t>
            </w:r>
          </w:p>
        </w:tc>
        <w:tc>
          <w:tcPr>
            <w:tcW w:type="dxa" w:w="3960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Holiday gift boxes online, live by 3 Nov</w:t>
            </w:r>
          </w:p>
        </w:tc>
        <w:tc>
          <w:tcPr>
            <w:tcW w:type="dxa" w:w="122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A. Hollis</w:t>
            </w:r>
          </w:p>
        </w:tc>
        <w:tc>
          <w:tcPr>
            <w:tcW w:type="dxa" w:w="2880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900 boxes; online AOV ≥ $26</w:t>
            </w:r>
          </w:p>
        </w:tc>
        <w:tc>
          <w:tcPr>
            <w:tcW w:type="dxa" w:w="86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3 Nov</w:t>
            </w:r>
          </w:p>
        </w:tc>
      </w:tr>
      <w:tr>
        <w:tc>
          <w:tcPr>
            <w:tcW w:type="dxa" w:w="432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/>
                <w:i w:val="0"/>
                <w:color w:val="6B2E1F"/>
                <w:sz w:val="17"/>
              </w:rPr>
              <w:t>3</w:t>
            </w:r>
          </w:p>
        </w:tc>
        <w:tc>
          <w:tcPr>
            <w:tcW w:type="dxa" w:w="3960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Win-back offer for Mill Road café regulars</w:t>
            </w:r>
          </w:p>
        </w:tc>
        <w:tc>
          <w:tcPr>
            <w:tcW w:type="dxa" w:w="122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Café lead</w:t>
            </w:r>
          </w:p>
        </w:tc>
        <w:tc>
          <w:tcPr>
            <w:tcW w:type="dxa" w:w="2880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Weekday transactions ≥ 420/day</w:t>
            </w:r>
          </w:p>
        </w:tc>
        <w:tc>
          <w:tcPr>
            <w:tcW w:type="dxa" w:w="864"/>
            <w:vAlign w:val="center"/>
            <w:tcBorders>
              <w:bottom w:val="single" w:sz="4" w:color="E2D8C6" w:space="0"/>
            </w:tcBorders>
          </w:tcPr>
          <w:p>
            <w:r/>
            <w:r>
              <w:rPr>
                <w:rFonts w:ascii="Lucida Sans" w:hAnsi="Lucida Sans" w:cs="Lucida Sans" w:eastAsia="Lucida Sans"/>
                <w:b w:val="0"/>
                <w:i w:val="0"/>
                <w:color w:val="2B201C"/>
                <w:sz w:val="17"/>
              </w:rPr>
              <w:t>30 Nov</w:t>
            </w:r>
          </w:p>
        </w:tc>
      </w:tr>
    </w:tbl>
    <w:p>
      <w:pPr>
        <w:spacing w:before="240" w:after="80"/>
        <w:pBdr>
          <w:bottom w:val="single" w:sz="6" w:space="2" w:color="D9C08C"/>
        </w:pBdr>
      </w:pPr>
      <w:r>
        <w:rPr>
          <w:rFonts w:ascii="Palatino Linotype" w:hAnsi="Palatino Linotype" w:cs="Palatino Linotype" w:eastAsia="Palatino Linotype"/>
          <w:b/>
          <w:i w:val="0"/>
          <w:color w:val="4A1F14"/>
          <w:sz w:val="26"/>
        </w:rPr>
        <w:t>Decisions needed from the owners</w:t>
      </w:r>
    </w:p>
    <w:p>
      <w:pPr>
        <w:spacing w:after="80" w:line="276" w:lineRule="auto"/>
      </w:pPr>
      <w:r>
        <w:rPr>
          <w:rFonts w:ascii="Lucida Sans" w:hAnsi="Lucida Sans" w:cs="Lucida Sans" w:eastAsia="Lucida Sans"/>
          <w:b w:val="0"/>
          <w:i w:val="0"/>
          <w:sz w:val="18"/>
        </w:rPr>
        <w:t>1) Approve a second roaster shift from November ($6,800/month labor) if wholesale passes 60 accounts. 2) Agree whether to match the competitor's price for the office account we lost (about 6% off list).</w:t>
      </w:r>
    </w:p>
    <w:p>
      <w:pPr>
        <w:spacing w:after="80" w:line="276" w:lineRule="auto"/>
      </w:pPr>
      <w:r>
        <w:rPr>
          <w:rFonts w:ascii="Lucida Sans" w:hAnsi="Lucida Sans" w:cs="Lucida Sans" w:eastAsia="Lucida Sans"/>
          <w:b w:val="0"/>
          <w:i/>
          <w:sz w:val="16"/>
        </w:rPr>
        <w:t>Detailed figures: Excel quarterly report workbook, tabs Q3 Scorecard and Monthly Detail. Company, people and figures are illustrative.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Lucida Sans" w:hAnsi="Lucida Sans" w:cs="Lucida Sans" w:eastAsia="Lucida Sans"/>
      <w:color w:val="2B201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Business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