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760"/>
        <w:gridCol w:w="4176"/>
      </w:tblGrid>
      <w:tr>
        <w:tc>
          <w:tcPr>
            <w:tcW w:type="dxa" w:w="5760"/>
          </w:tcPr>
          <w:p>
            <w:r>
              <w:rPr>
                <w:b/>
                <w:color w:val="1F3864"/>
                <w:sz w:val="34"/>
              </w:rPr>
              <w:t>Brookfield Home Services LLC</w:t>
            </w:r>
          </w:p>
          <w:p>
            <w:r>
              <w:rPr>
                <w:color w:val="595959"/>
                <w:sz w:val="18"/>
              </w:rPr>
              <w:t>2280 Lakeview Avenue · Denver, CO 80211</w:t>
              <w:br/>
              <w:t>payroll@brookfieldhome.com · (303) 555-0147</w:t>
            </w:r>
          </w:p>
        </w:tc>
        <w:tc>
          <w:tcPr>
            <w:tcW w:type="dxa" w:w="4176"/>
          </w:tcPr>
          <w:p>
            <w:pPr>
              <w:jc w:val="right"/>
            </w:pPr>
            <w:r>
              <w:rPr>
                <w:b/>
                <w:color w:val="595959"/>
                <w:sz w:val="22"/>
              </w:rPr>
              <w:t>PAYROLL</w:t>
            </w:r>
          </w:p>
          <w:p>
            <w:pPr>
              <w:jc w:val="right"/>
            </w:pPr>
            <w:r>
              <w:rPr>
                <w:b/>
                <w:color w:val="1F3864"/>
                <w:sz w:val="32"/>
              </w:rPr>
              <w:t>Payroll Summary Report</w:t>
            </w:r>
          </w:p>
        </w:tc>
      </w:tr>
    </w:tbl>
    <w:p>
      <w:pPr>
        <w:pBdr>
          <w:bottom w:val="single" w:sz="12" w:space="4" w:color="1F3864"/>
        </w:pBd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D3E0"/>
          <w:left w:val="single" w:sz="4" w:color="C9D3E0"/>
          <w:bottom w:val="single" w:sz="4" w:color="C9D3E0"/>
          <w:right w:val="single" w:sz="4" w:color="C9D3E0"/>
          <w:insideH w:val="single" w:sz="4" w:color="C9D3E0"/>
          <w:insideV w:val="single" w:sz="4" w:color="C9D3E0"/>
        </w:tblBorders>
        <w:tblLayout w:type="fixed"/>
      </w:tblPr>
      <w:tblGrid>
        <w:gridCol w:w="1728"/>
        <w:gridCol w:w="3240"/>
        <w:gridCol w:w="1655"/>
        <w:gridCol w:w="3311"/>
      </w:tblGrid>
      <w:tr>
        <w:tc>
          <w:tcPr>
            <w:tcW w:type="dxa" w:w="1728"/>
            <w:vAlign w:val="center"/>
            <w:shd w:val="clear" w:color="auto" w:fill="EAF0F7"/>
          </w:tcPr>
          <w:p>
            <w:pPr>
              <w:spacing w:after="0" w:before="0"/>
            </w:pPr>
            <w:r/>
            <w:r>
              <w:rPr>
                <w:b/>
                <w:color w:val="1F3864"/>
                <w:sz w:val="20"/>
              </w:rPr>
              <w:t>Pay Period:</w:t>
            </w:r>
          </w:p>
        </w:tc>
        <w:tc>
          <w:tcPr>
            <w:tcW w:type="dxa" w:w="324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Sep 14 – Sep 27, 2026</w:t>
            </w:r>
          </w:p>
        </w:tc>
        <w:tc>
          <w:tcPr>
            <w:tcW w:type="dxa" w:w="1656"/>
            <w:vAlign w:val="center"/>
            <w:shd w:val="clear" w:color="auto" w:fill="EAF0F7"/>
          </w:tcPr>
          <w:p>
            <w:pPr>
              <w:spacing w:after="0" w:before="0"/>
            </w:pPr>
            <w:r/>
            <w:r>
              <w:rPr>
                <w:b/>
                <w:color w:val="1F3864"/>
                <w:sz w:val="20"/>
              </w:rPr>
              <w:t>Pay Date:</w:t>
            </w:r>
          </w:p>
        </w:tc>
        <w:tc>
          <w:tcPr>
            <w:tcW w:type="dxa" w:w="3312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October 2, 2026</w:t>
            </w:r>
          </w:p>
        </w:tc>
      </w:tr>
      <w:tr>
        <w:tc>
          <w:tcPr>
            <w:tcW w:type="dxa" w:w="1728"/>
            <w:vAlign w:val="center"/>
            <w:shd w:val="clear" w:color="auto" w:fill="EAF0F7"/>
          </w:tcPr>
          <w:p>
            <w:pPr>
              <w:spacing w:after="0" w:before="0"/>
            </w:pPr>
            <w:r/>
            <w:r>
              <w:rPr>
                <w:b/>
                <w:color w:val="1F3864"/>
                <w:sz w:val="20"/>
              </w:rPr>
              <w:t>Pay Frequency:</w:t>
            </w:r>
          </w:p>
        </w:tc>
        <w:tc>
          <w:tcPr>
            <w:tcW w:type="dxa" w:w="324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Biweekly (26 pay periods)</w:t>
            </w:r>
          </w:p>
        </w:tc>
        <w:tc>
          <w:tcPr>
            <w:tcW w:type="dxa" w:w="1656"/>
            <w:vAlign w:val="center"/>
            <w:shd w:val="clear" w:color="auto" w:fill="EAF0F7"/>
          </w:tcPr>
          <w:p>
            <w:pPr>
              <w:spacing w:after="0" w:before="0"/>
            </w:pPr>
            <w:r/>
            <w:r>
              <w:rPr>
                <w:b/>
                <w:color w:val="1F3864"/>
                <w:sz w:val="20"/>
              </w:rPr>
              <w:t>Prepared By:</w:t>
            </w:r>
          </w:p>
        </w:tc>
        <w:tc>
          <w:tcPr>
            <w:tcW w:type="dxa" w:w="3312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Nicole Grant, Payroll Admin</w:t>
            </w:r>
          </w:p>
        </w:tc>
      </w:tr>
    </w:tbl>
    <w:p>
      <w:pPr>
        <w:pStyle w:val="Heading1"/>
      </w:pPr>
      <w:r>
        <w:t>Executive Summary</w:t>
      </w:r>
    </w:p>
    <w:p>
      <w:r>
        <w:t>Payroll for the September 14–27, 2026 pay period covers 12 employees and 986 hours worked. Gross pay totals $33,513.75, of which $1,626.76 (4.9%) is overtime and $3,700.00 is bonus pay. After $9,853.24 in taxes and deductions, employees receive $23,660.51 in net pay. Including $2,442.18 in employer Social Security and Medicare, the total cost of this payroll is $35,955.93.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single" w:sz="4" w:color="FFFFFF"/>
          <w:insideV w:val="single" w:sz="4" w:color="FFFFFF"/>
        </w:tblBorders>
        <w:tblLayout w:type="fixed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vAlign w:val="center"/>
            <w:shd w:val="clear" w:color="auto" w:fill="2E5C8A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FFFFFF"/>
                <w:sz w:val="18"/>
              </w:rPr>
              <w:t>Gross Pay</w:t>
            </w:r>
          </w:p>
        </w:tc>
        <w:tc>
          <w:tcPr>
            <w:tcW w:type="dxa" w:w="2484"/>
            <w:vAlign w:val="center"/>
            <w:shd w:val="clear" w:color="auto" w:fill="2E5C8A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FFFFFF"/>
                <w:sz w:val="18"/>
              </w:rPr>
              <w:t>Net Pay</w:t>
            </w:r>
          </w:p>
        </w:tc>
        <w:tc>
          <w:tcPr>
            <w:tcW w:type="dxa" w:w="2484"/>
            <w:vAlign w:val="center"/>
            <w:shd w:val="clear" w:color="auto" w:fill="2E5C8A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FFFFFF"/>
                <w:sz w:val="18"/>
              </w:rPr>
              <w:t>Employer Taxes</w:t>
            </w:r>
          </w:p>
        </w:tc>
        <w:tc>
          <w:tcPr>
            <w:tcW w:type="dxa" w:w="2484"/>
            <w:vAlign w:val="center"/>
            <w:shd w:val="clear" w:color="auto" w:fill="2E5C8A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FFFFFF"/>
                <w:sz w:val="18"/>
              </w:rPr>
              <w:t>Total Payroll Cost</w:t>
            </w:r>
          </w:p>
        </w:tc>
      </w:tr>
      <w:tr>
        <w:tc>
          <w:tcPr>
            <w:tcW w:type="dxa" w:w="2484"/>
            <w:vAlign w:val="center"/>
            <w:shd w:val="clear" w:color="auto" w:fill="EAF0F7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1F3864"/>
                <w:sz w:val="28"/>
              </w:rPr>
              <w:t>$33,513.75</w:t>
            </w:r>
          </w:p>
        </w:tc>
        <w:tc>
          <w:tcPr>
            <w:tcW w:type="dxa" w:w="2484"/>
            <w:vAlign w:val="center"/>
            <w:shd w:val="clear" w:color="auto" w:fill="EAF0F7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1F3864"/>
                <w:sz w:val="28"/>
              </w:rPr>
              <w:t>$23,660.51</w:t>
            </w:r>
          </w:p>
        </w:tc>
        <w:tc>
          <w:tcPr>
            <w:tcW w:type="dxa" w:w="2484"/>
            <w:vAlign w:val="center"/>
            <w:shd w:val="clear" w:color="auto" w:fill="EAF0F7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1F3864"/>
                <w:sz w:val="28"/>
              </w:rPr>
              <w:t>$2,442.18</w:t>
            </w:r>
          </w:p>
        </w:tc>
        <w:tc>
          <w:tcPr>
            <w:tcW w:type="dxa" w:w="2484"/>
            <w:vAlign w:val="center"/>
            <w:shd w:val="clear" w:color="auto" w:fill="EAF0F7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1F3864"/>
                <w:sz w:val="28"/>
              </w:rPr>
              <w:t>$35,955.93</w:t>
            </w:r>
          </w:p>
        </w:tc>
      </w:tr>
    </w:tbl>
    <w:p>
      <w:pPr>
        <w:pStyle w:val="Heading1"/>
      </w:pPr>
      <w:r>
        <w:t>Payroll by Department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9D3E0"/>
          <w:left w:val="single" w:sz="4" w:color="C9D3E0"/>
          <w:bottom w:val="single" w:sz="4" w:color="C9D3E0"/>
          <w:right w:val="single" w:sz="4" w:color="C9D3E0"/>
          <w:insideH w:val="single" w:sz="4" w:color="C9D3E0"/>
          <w:insideV w:val="single" w:sz="4" w:color="C9D3E0"/>
        </w:tblBorders>
        <w:tblLayout w:type="fixed"/>
      </w:tblPr>
      <w:tblGrid>
        <w:gridCol w:w="2592"/>
        <w:gridCol w:w="1296"/>
        <w:gridCol w:w="1152"/>
        <w:gridCol w:w="1655"/>
        <w:gridCol w:w="1584"/>
        <w:gridCol w:w="1655"/>
      </w:tblGrid>
      <w:tr>
        <w:trPr>
          <w:cantSplit/>
          <w:trHeight w:val="330"/>
        </w:trPr>
        <w:tc>
          <w:tcPr>
            <w:tcW w:type="dxa" w:w="2592"/>
            <w:vAlign w:val="center"/>
            <w:shd w:val="clear" w:color="auto" w:fill="1F3864"/>
          </w:tcPr>
          <w:p>
            <w:pPr>
              <w:spacing w:after="0" w:before="0"/>
            </w:pPr>
            <w:r/>
            <w:r>
              <w:rPr>
                <w:b/>
                <w:color w:val="FFFFFF"/>
                <w:sz w:val="19"/>
              </w:rPr>
              <w:t>Department</w:t>
            </w:r>
          </w:p>
        </w:tc>
        <w:tc>
          <w:tcPr>
            <w:tcW w:type="dxa" w:w="1296"/>
            <w:vAlign w:val="center"/>
            <w:shd w:val="clear" w:color="auto" w:fill="1F3864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FFFFFF"/>
                <w:sz w:val="19"/>
              </w:rPr>
              <w:t>Employees</w:t>
            </w:r>
          </w:p>
        </w:tc>
        <w:tc>
          <w:tcPr>
            <w:tcW w:type="dxa" w:w="1152"/>
            <w:vAlign w:val="center"/>
            <w:shd w:val="clear" w:color="auto" w:fill="1F3864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FFFFFF"/>
                <w:sz w:val="19"/>
              </w:rPr>
              <w:t>Hours</w:t>
            </w:r>
          </w:p>
        </w:tc>
        <w:tc>
          <w:tcPr>
            <w:tcW w:type="dxa" w:w="1656"/>
            <w:vAlign w:val="center"/>
            <w:shd w:val="clear" w:color="auto" w:fill="1F3864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FFFFFF"/>
                <w:sz w:val="19"/>
              </w:rPr>
              <w:t>Gross Pay</w:t>
            </w:r>
          </w:p>
        </w:tc>
        <w:tc>
          <w:tcPr>
            <w:tcW w:type="dxa" w:w="1584"/>
            <w:vAlign w:val="center"/>
            <w:shd w:val="clear" w:color="auto" w:fill="1F3864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FFFFFF"/>
                <w:sz w:val="19"/>
              </w:rPr>
              <w:t>Net Pay</w:t>
            </w:r>
          </w:p>
        </w:tc>
        <w:tc>
          <w:tcPr>
            <w:tcW w:type="dxa" w:w="1656"/>
            <w:vAlign w:val="center"/>
            <w:shd w:val="clear" w:color="auto" w:fill="1F3864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FFFFFF"/>
                <w:sz w:val="19"/>
              </w:rPr>
              <w:t>Total Cost</w:t>
            </w:r>
          </w:p>
        </w:tc>
      </w:tr>
      <w:tr>
        <w:trPr>
          <w:cantSplit/>
          <w:trHeight w:val="330"/>
        </w:trPr>
        <w:tc>
          <w:tcPr>
            <w:tcW w:type="dxa" w:w="2592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Administration</w:t>
            </w:r>
          </w:p>
        </w:tc>
        <w:tc>
          <w:tcPr>
            <w:tcW w:type="dxa" w:w="1296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15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152.0</w:t>
            </w:r>
          </w:p>
        </w:tc>
        <w:tc>
          <w:tcPr>
            <w:tcW w:type="dxa" w:w="1656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$4,674.00</w:t>
            </w:r>
          </w:p>
        </w:tc>
        <w:tc>
          <w:tcPr>
            <w:tcW w:type="dxa" w:w="1584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$3,238.39</w:t>
            </w:r>
          </w:p>
        </w:tc>
        <w:tc>
          <w:tcPr>
            <w:tcW w:type="dxa" w:w="1656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$5,013.21</w:t>
            </w:r>
          </w:p>
        </w:tc>
      </w:tr>
      <w:tr>
        <w:trPr>
          <w:cantSplit/>
          <w:trHeight w:val="330"/>
        </w:trPr>
        <w:tc>
          <w:tcPr>
            <w:tcW w:type="dxa" w:w="2592"/>
            <w:vAlign w:val="center"/>
            <w:shd w:val="clear" w:color="auto" w:fill="F2F2F2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Field Services</w:t>
            </w:r>
          </w:p>
        </w:tc>
        <w:tc>
          <w:tcPr>
            <w:tcW w:type="dxa" w:w="1296"/>
            <w:vAlign w:val="center"/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1152"/>
            <w:vAlign w:val="center"/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342.5</w:t>
            </w:r>
          </w:p>
        </w:tc>
        <w:tc>
          <w:tcPr>
            <w:tcW w:type="dxa" w:w="1656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$10,512.01</w:t>
            </w:r>
          </w:p>
        </w:tc>
        <w:tc>
          <w:tcPr>
            <w:tcW w:type="dxa" w:w="1584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$7,553.29</w:t>
            </w:r>
          </w:p>
        </w:tc>
        <w:tc>
          <w:tcPr>
            <w:tcW w:type="dxa" w:w="1656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$11,274.49</w:t>
            </w:r>
          </w:p>
        </w:tc>
      </w:tr>
      <w:tr>
        <w:trPr>
          <w:cantSplit/>
          <w:trHeight w:val="330"/>
        </w:trPr>
        <w:tc>
          <w:tcPr>
            <w:tcW w:type="dxa" w:w="2592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Operations</w:t>
            </w:r>
          </w:p>
        </w:tc>
        <w:tc>
          <w:tcPr>
            <w:tcW w:type="dxa" w:w="1296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115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251.5</w:t>
            </w:r>
          </w:p>
        </w:tc>
        <w:tc>
          <w:tcPr>
            <w:tcW w:type="dxa" w:w="1656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$8,566.21</w:t>
            </w:r>
          </w:p>
        </w:tc>
        <w:tc>
          <w:tcPr>
            <w:tcW w:type="dxa" w:w="1584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$5,868.36</w:t>
            </w:r>
          </w:p>
        </w:tc>
        <w:tc>
          <w:tcPr>
            <w:tcW w:type="dxa" w:w="1656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$9,182.12</w:t>
            </w:r>
          </w:p>
        </w:tc>
      </w:tr>
      <w:tr>
        <w:trPr>
          <w:cantSplit/>
          <w:trHeight w:val="330"/>
        </w:trPr>
        <w:tc>
          <w:tcPr>
            <w:tcW w:type="dxa" w:w="2592"/>
            <w:vAlign w:val="center"/>
            <w:shd w:val="clear" w:color="auto" w:fill="F2F2F2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Sales</w:t>
            </w:r>
          </w:p>
        </w:tc>
        <w:tc>
          <w:tcPr>
            <w:tcW w:type="dxa" w:w="1296"/>
            <w:vAlign w:val="center"/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1152"/>
            <w:vAlign w:val="center"/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240.0</w:t>
            </w:r>
          </w:p>
        </w:tc>
        <w:tc>
          <w:tcPr>
            <w:tcW w:type="dxa" w:w="1656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$9,761.53</w:t>
            </w:r>
          </w:p>
        </w:tc>
        <w:tc>
          <w:tcPr>
            <w:tcW w:type="dxa" w:w="1584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$7,000.47</w:t>
            </w:r>
          </w:p>
        </w:tc>
        <w:tc>
          <w:tcPr>
            <w:tcW w:type="dxa" w:w="1656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$10,486.11</w:t>
            </w:r>
          </w:p>
        </w:tc>
      </w:tr>
      <w:tr>
        <w:trPr>
          <w:cantSplit/>
          <w:trHeight w:val="330"/>
        </w:trPr>
        <w:tc>
          <w:tcPr>
            <w:tcW w:type="dxa" w:w="2592"/>
            <w:vAlign w:val="center"/>
            <w:shd w:val="clear" w:color="auto" w:fill="EAF0F7"/>
          </w:tcPr>
          <w:p>
            <w:pPr>
              <w:spacing w:after="0" w:before="0"/>
            </w:pPr>
            <w:r/>
            <w:r>
              <w:rPr>
                <w:b/>
                <w:color w:val="1F3864"/>
                <w:sz w:val="20"/>
              </w:rPr>
              <w:t>Total</w:t>
            </w:r>
          </w:p>
        </w:tc>
        <w:tc>
          <w:tcPr>
            <w:tcW w:type="dxa" w:w="1296"/>
            <w:vAlign w:val="center"/>
            <w:shd w:val="clear" w:color="auto" w:fill="EAF0F7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1F3864"/>
                <w:sz w:val="20"/>
              </w:rPr>
              <w:t>12</w:t>
            </w:r>
          </w:p>
        </w:tc>
        <w:tc>
          <w:tcPr>
            <w:tcW w:type="dxa" w:w="1152"/>
            <w:vAlign w:val="center"/>
            <w:shd w:val="clear" w:color="auto" w:fill="EAF0F7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1F3864"/>
                <w:sz w:val="20"/>
              </w:rPr>
              <w:t>986.0</w:t>
            </w:r>
          </w:p>
        </w:tc>
        <w:tc>
          <w:tcPr>
            <w:tcW w:type="dxa" w:w="1656"/>
            <w:vAlign w:val="center"/>
            <w:shd w:val="clear" w:color="auto" w:fill="EAF0F7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1F3864"/>
                <w:sz w:val="20"/>
              </w:rPr>
              <w:t>$33,513.75</w:t>
            </w:r>
          </w:p>
        </w:tc>
        <w:tc>
          <w:tcPr>
            <w:tcW w:type="dxa" w:w="1584"/>
            <w:vAlign w:val="center"/>
            <w:shd w:val="clear" w:color="auto" w:fill="EAF0F7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1F3864"/>
                <w:sz w:val="20"/>
              </w:rPr>
              <w:t>$23,660.51</w:t>
            </w:r>
          </w:p>
        </w:tc>
        <w:tc>
          <w:tcPr>
            <w:tcW w:type="dxa" w:w="1656"/>
            <w:vAlign w:val="center"/>
            <w:shd w:val="clear" w:color="auto" w:fill="EAF0F7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1F3864"/>
                <w:sz w:val="20"/>
              </w:rPr>
              <w:t>$35,955.93</w:t>
            </w:r>
          </w:p>
        </w:tc>
      </w:tr>
    </w:tbl>
    <w:p>
      <w:pPr>
        <w:pStyle w:val="Heading1"/>
      </w:pPr>
      <w:r>
        <w:t>Earnings and Deductions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9D3E0"/>
          <w:left w:val="single" w:sz="4" w:color="C9D3E0"/>
          <w:bottom w:val="single" w:sz="4" w:color="C9D3E0"/>
          <w:right w:val="single" w:sz="4" w:color="C9D3E0"/>
          <w:insideH w:val="single" w:sz="4" w:color="C9D3E0"/>
          <w:insideV w:val="single" w:sz="4" w:color="C9D3E0"/>
        </w:tblBorders>
        <w:tblLayout w:type="fixed"/>
      </w:tblPr>
      <w:tblGrid>
        <w:gridCol w:w="5616"/>
        <w:gridCol w:w="2160"/>
        <w:gridCol w:w="2160"/>
      </w:tblGrid>
      <w:tr>
        <w:trPr>
          <w:cantSplit/>
          <w:trHeight w:val="330"/>
        </w:trPr>
        <w:tc>
          <w:tcPr>
            <w:tcW w:type="dxa" w:w="5616"/>
            <w:vAlign w:val="center"/>
            <w:shd w:val="clear" w:color="auto" w:fill="1F3864"/>
          </w:tcPr>
          <w:p>
            <w:pPr>
              <w:spacing w:after="0" w:before="0"/>
            </w:pPr>
            <w:r/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2160"/>
            <w:vAlign w:val="center"/>
            <w:shd w:val="clear" w:color="auto" w:fill="1F3864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FFFFFF"/>
                <w:sz w:val="19"/>
              </w:rPr>
              <w:t>Amount</w:t>
            </w:r>
          </w:p>
        </w:tc>
        <w:tc>
          <w:tcPr>
            <w:tcW w:type="dxa" w:w="2160"/>
            <w:vAlign w:val="center"/>
            <w:shd w:val="clear" w:color="auto" w:fill="1F3864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FFFFFF"/>
                <w:sz w:val="19"/>
              </w:rPr>
              <w:t>% of Gross Pay</w:t>
            </w:r>
          </w:p>
        </w:tc>
      </w:tr>
      <w:tr>
        <w:trPr>
          <w:cantSplit/>
          <w:trHeight w:val="330"/>
        </w:trPr>
        <w:tc>
          <w:tcPr>
            <w:tcW w:type="dxa" w:w="5616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Regular pay (948 hours and salaries)</w:t>
            </w:r>
          </w:p>
        </w:tc>
        <w:tc>
          <w:tcPr>
            <w:tcW w:type="dxa" w:w="216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$28,186.99</w:t>
            </w:r>
          </w:p>
        </w:tc>
        <w:tc>
          <w:tcPr>
            <w:tcW w:type="dxa" w:w="216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84.1%</w:t>
            </w:r>
          </w:p>
        </w:tc>
      </w:tr>
      <w:tr>
        <w:trPr>
          <w:cantSplit/>
          <w:trHeight w:val="330"/>
        </w:trPr>
        <w:tc>
          <w:tcPr>
            <w:tcW w:type="dxa" w:w="5616"/>
            <w:vAlign w:val="center"/>
            <w:shd w:val="clear" w:color="auto" w:fill="F2F2F2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Overtime pay (38 hours at 1.5x)</w:t>
            </w:r>
          </w:p>
        </w:tc>
        <w:tc>
          <w:tcPr>
            <w:tcW w:type="dxa" w:w="2160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$1,626.76</w:t>
            </w:r>
          </w:p>
        </w:tc>
        <w:tc>
          <w:tcPr>
            <w:tcW w:type="dxa" w:w="2160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4.9%</w:t>
            </w:r>
          </w:p>
        </w:tc>
      </w:tr>
      <w:tr>
        <w:trPr>
          <w:cantSplit/>
          <w:trHeight w:val="330"/>
        </w:trPr>
        <w:tc>
          <w:tcPr>
            <w:tcW w:type="dxa" w:w="5616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Bonuses and other pay</w:t>
            </w:r>
          </w:p>
        </w:tc>
        <w:tc>
          <w:tcPr>
            <w:tcW w:type="dxa" w:w="216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$3,700.00</w:t>
            </w:r>
          </w:p>
        </w:tc>
        <w:tc>
          <w:tcPr>
            <w:tcW w:type="dxa" w:w="216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11.0%</w:t>
            </w:r>
          </w:p>
        </w:tc>
      </w:tr>
      <w:tr>
        <w:trPr>
          <w:cantSplit/>
          <w:trHeight w:val="330"/>
        </w:trPr>
        <w:tc>
          <w:tcPr>
            <w:tcW w:type="dxa" w:w="5616"/>
            <w:vAlign w:val="center"/>
            <w:shd w:val="clear" w:color="auto" w:fill="F2F2F2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Less: 401(k) contributions</w:t>
            </w:r>
          </w:p>
        </w:tc>
        <w:tc>
          <w:tcPr>
            <w:tcW w:type="dxa" w:w="2160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($1,378.96)</w:t>
            </w:r>
          </w:p>
        </w:tc>
        <w:tc>
          <w:tcPr>
            <w:tcW w:type="dxa" w:w="2160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4.1%</w:t>
            </w:r>
          </w:p>
        </w:tc>
      </w:tr>
      <w:tr>
        <w:trPr>
          <w:cantSplit/>
          <w:trHeight w:val="330"/>
        </w:trPr>
        <w:tc>
          <w:tcPr>
            <w:tcW w:type="dxa" w:w="5616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Less: health insurance (pre-tax)</w:t>
            </w:r>
          </w:p>
        </w:tc>
        <w:tc>
          <w:tcPr>
            <w:tcW w:type="dxa" w:w="216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($1,590.00)</w:t>
            </w:r>
          </w:p>
        </w:tc>
        <w:tc>
          <w:tcPr>
            <w:tcW w:type="dxa" w:w="216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4.7%</w:t>
            </w:r>
          </w:p>
        </w:tc>
      </w:tr>
      <w:tr>
        <w:trPr>
          <w:cantSplit/>
          <w:trHeight w:val="330"/>
        </w:trPr>
        <w:tc>
          <w:tcPr>
            <w:tcW w:type="dxa" w:w="5616"/>
            <w:vAlign w:val="center"/>
            <w:shd w:val="clear" w:color="auto" w:fill="F2F2F2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Less: federal income tax</w:t>
            </w:r>
          </w:p>
        </w:tc>
        <w:tc>
          <w:tcPr>
            <w:tcW w:type="dxa" w:w="2160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($3,220.31)</w:t>
            </w:r>
          </w:p>
        </w:tc>
        <w:tc>
          <w:tcPr>
            <w:tcW w:type="dxa" w:w="2160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9.6%</w:t>
            </w:r>
          </w:p>
        </w:tc>
      </w:tr>
      <w:tr>
        <w:trPr>
          <w:cantSplit/>
          <w:trHeight w:val="330"/>
        </w:trPr>
        <w:tc>
          <w:tcPr>
            <w:tcW w:type="dxa" w:w="5616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Less: Social Security (6.2%)</w:t>
            </w:r>
          </w:p>
        </w:tc>
        <w:tc>
          <w:tcPr>
            <w:tcW w:type="dxa" w:w="216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($1,979.27)</w:t>
            </w:r>
          </w:p>
        </w:tc>
        <w:tc>
          <w:tcPr>
            <w:tcW w:type="dxa" w:w="216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5.9%</w:t>
            </w:r>
          </w:p>
        </w:tc>
      </w:tr>
      <w:tr>
        <w:trPr>
          <w:cantSplit/>
          <w:trHeight w:val="330"/>
        </w:trPr>
        <w:tc>
          <w:tcPr>
            <w:tcW w:type="dxa" w:w="5616"/>
            <w:vAlign w:val="center"/>
            <w:shd w:val="clear" w:color="auto" w:fill="F2F2F2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Less: Medicare (1.45%)</w:t>
            </w:r>
          </w:p>
        </w:tc>
        <w:tc>
          <w:tcPr>
            <w:tcW w:type="dxa" w:w="2160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($462.91)</w:t>
            </w:r>
          </w:p>
        </w:tc>
        <w:tc>
          <w:tcPr>
            <w:tcW w:type="dxa" w:w="2160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1.4%</w:t>
            </w:r>
          </w:p>
        </w:tc>
      </w:tr>
      <w:tr>
        <w:trPr>
          <w:cantSplit/>
          <w:trHeight w:val="330"/>
        </w:trPr>
        <w:tc>
          <w:tcPr>
            <w:tcW w:type="dxa" w:w="5616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Less: state income tax (4.0%)</w:t>
            </w:r>
          </w:p>
        </w:tc>
        <w:tc>
          <w:tcPr>
            <w:tcW w:type="dxa" w:w="216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($1,221.79)</w:t>
            </w:r>
          </w:p>
        </w:tc>
        <w:tc>
          <w:tcPr>
            <w:tcW w:type="dxa" w:w="216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3.6%</w:t>
            </w:r>
          </w:p>
        </w:tc>
      </w:tr>
      <w:tr>
        <w:trPr>
          <w:cantSplit/>
          <w:trHeight w:val="330"/>
        </w:trPr>
        <w:tc>
          <w:tcPr>
            <w:tcW w:type="dxa" w:w="5616"/>
            <w:vAlign w:val="center"/>
            <w:shd w:val="clear" w:color="auto" w:fill="EAF0F7"/>
          </w:tcPr>
          <w:p>
            <w:pPr>
              <w:spacing w:after="0" w:before="0"/>
            </w:pPr>
            <w:r/>
            <w:r>
              <w:rPr>
                <w:b/>
                <w:color w:val="1F3864"/>
                <w:sz w:val="20"/>
              </w:rPr>
              <w:t>Net Pay</w:t>
            </w:r>
          </w:p>
        </w:tc>
        <w:tc>
          <w:tcPr>
            <w:tcW w:type="dxa" w:w="2160"/>
            <w:vAlign w:val="center"/>
            <w:shd w:val="clear" w:color="auto" w:fill="EAF0F7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1F3864"/>
                <w:sz w:val="20"/>
              </w:rPr>
              <w:t>$23,660.51</w:t>
            </w:r>
          </w:p>
        </w:tc>
        <w:tc>
          <w:tcPr>
            <w:tcW w:type="dxa" w:w="2160"/>
            <w:vAlign w:val="center"/>
            <w:shd w:val="clear" w:color="auto" w:fill="EAF0F7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1F3864"/>
                <w:sz w:val="20"/>
              </w:rPr>
              <w:t>70.6%</w:t>
            </w:r>
          </w:p>
        </w:tc>
      </w:tr>
    </w:tbl>
    <w:p>
      <w:r>
        <w:br w:type="page"/>
      </w:r>
    </w:p>
    <w:p>
      <w:pPr>
        <w:pStyle w:val="Heading1"/>
      </w:pPr>
      <w:r>
        <w:t>Tax and Deduction Liabilities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9D3E0"/>
          <w:left w:val="single" w:sz="4" w:color="C9D3E0"/>
          <w:bottom w:val="single" w:sz="4" w:color="C9D3E0"/>
          <w:right w:val="single" w:sz="4" w:color="C9D3E0"/>
          <w:insideH w:val="single" w:sz="4" w:color="C9D3E0"/>
          <w:insideV w:val="single" w:sz="4" w:color="C9D3E0"/>
        </w:tblBorders>
        <w:tblLayout w:type="fixed"/>
      </w:tblPr>
      <w:tblGrid>
        <w:gridCol w:w="3168"/>
        <w:gridCol w:w="1584"/>
        <w:gridCol w:w="1584"/>
        <w:gridCol w:w="1872"/>
        <w:gridCol w:w="1728"/>
      </w:tblGrid>
      <w:tr>
        <w:trPr>
          <w:cantSplit/>
          <w:trHeight w:val="330"/>
        </w:trPr>
        <w:tc>
          <w:tcPr>
            <w:tcW w:type="dxa" w:w="3168"/>
            <w:vAlign w:val="center"/>
            <w:shd w:val="clear" w:color="auto" w:fill="1F3864"/>
          </w:tcPr>
          <w:p>
            <w:pPr>
              <w:spacing w:after="0" w:before="0"/>
            </w:pPr>
            <w:r/>
            <w:r>
              <w:rPr>
                <w:b/>
                <w:color w:val="FFFFFF"/>
                <w:sz w:val="19"/>
              </w:rPr>
              <w:t>Liability</w:t>
            </w:r>
          </w:p>
        </w:tc>
        <w:tc>
          <w:tcPr>
            <w:tcW w:type="dxa" w:w="1584"/>
            <w:vAlign w:val="center"/>
            <w:shd w:val="clear" w:color="auto" w:fill="1F3864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FFFFFF"/>
                <w:sz w:val="19"/>
              </w:rPr>
              <w:t>Employee</w:t>
            </w:r>
          </w:p>
        </w:tc>
        <w:tc>
          <w:tcPr>
            <w:tcW w:type="dxa" w:w="1584"/>
            <w:vAlign w:val="center"/>
            <w:shd w:val="clear" w:color="auto" w:fill="1F3864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FFFFFF"/>
                <w:sz w:val="19"/>
              </w:rPr>
              <w:t>Employer</w:t>
            </w:r>
          </w:p>
        </w:tc>
        <w:tc>
          <w:tcPr>
            <w:tcW w:type="dxa" w:w="1872"/>
            <w:vAlign w:val="center"/>
            <w:shd w:val="clear" w:color="auto" w:fill="1F3864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FFFFFF"/>
                <w:sz w:val="19"/>
              </w:rPr>
              <w:t>Total to Remit</w:t>
            </w:r>
          </w:p>
        </w:tc>
        <w:tc>
          <w:tcPr>
            <w:tcW w:type="dxa" w:w="1728"/>
            <w:vAlign w:val="center"/>
            <w:shd w:val="clear" w:color="auto" w:fill="1F3864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FFFFFF"/>
                <w:sz w:val="19"/>
              </w:rPr>
              <w:t>Due Date</w:t>
            </w:r>
          </w:p>
        </w:tc>
      </w:tr>
      <w:tr>
        <w:trPr>
          <w:cantSplit/>
          <w:trHeight w:val="330"/>
        </w:trPr>
        <w:tc>
          <w:tcPr>
            <w:tcW w:type="dxa" w:w="316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Federal income tax withheld</w:t>
            </w:r>
          </w:p>
        </w:tc>
        <w:tc>
          <w:tcPr>
            <w:tcW w:type="dxa" w:w="1584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$3,220.31</w:t>
            </w:r>
          </w:p>
        </w:tc>
        <w:tc>
          <w:tcPr>
            <w:tcW w:type="dxa" w:w="1584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–</w:t>
            </w:r>
          </w:p>
        </w:tc>
        <w:tc>
          <w:tcPr>
            <w:tcW w:type="dxa" w:w="1872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$3,220.31</w:t>
            </w:r>
          </w:p>
        </w:tc>
        <w:tc>
          <w:tcPr>
            <w:tcW w:type="dxa" w:w="1728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Oct 7, 2026</w:t>
            </w:r>
          </w:p>
        </w:tc>
      </w:tr>
      <w:tr>
        <w:trPr>
          <w:cantSplit/>
          <w:trHeight w:val="330"/>
        </w:trPr>
        <w:tc>
          <w:tcPr>
            <w:tcW w:type="dxa" w:w="3168"/>
            <w:vAlign w:val="center"/>
            <w:shd w:val="clear" w:color="auto" w:fill="F2F2F2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Social Security</w:t>
            </w:r>
          </w:p>
        </w:tc>
        <w:tc>
          <w:tcPr>
            <w:tcW w:type="dxa" w:w="1584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$1,979.27</w:t>
            </w:r>
          </w:p>
        </w:tc>
        <w:tc>
          <w:tcPr>
            <w:tcW w:type="dxa" w:w="1584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$1,979.27</w:t>
            </w:r>
          </w:p>
        </w:tc>
        <w:tc>
          <w:tcPr>
            <w:tcW w:type="dxa" w:w="1872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$3,958.54</w:t>
            </w:r>
          </w:p>
        </w:tc>
        <w:tc>
          <w:tcPr>
            <w:tcW w:type="dxa" w:w="1728"/>
            <w:vAlign w:val="center"/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Oct 7, 2026</w:t>
            </w:r>
          </w:p>
        </w:tc>
      </w:tr>
      <w:tr>
        <w:trPr>
          <w:cantSplit/>
          <w:trHeight w:val="330"/>
        </w:trPr>
        <w:tc>
          <w:tcPr>
            <w:tcW w:type="dxa" w:w="316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Medicare</w:t>
            </w:r>
          </w:p>
        </w:tc>
        <w:tc>
          <w:tcPr>
            <w:tcW w:type="dxa" w:w="1584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$462.91</w:t>
            </w:r>
          </w:p>
        </w:tc>
        <w:tc>
          <w:tcPr>
            <w:tcW w:type="dxa" w:w="1584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$462.91</w:t>
            </w:r>
          </w:p>
        </w:tc>
        <w:tc>
          <w:tcPr>
            <w:tcW w:type="dxa" w:w="1872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$925.82</w:t>
            </w:r>
          </w:p>
        </w:tc>
        <w:tc>
          <w:tcPr>
            <w:tcW w:type="dxa" w:w="1728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Oct 7, 2026</w:t>
            </w:r>
          </w:p>
        </w:tc>
      </w:tr>
      <w:tr>
        <w:trPr>
          <w:cantSplit/>
          <w:trHeight w:val="330"/>
        </w:trPr>
        <w:tc>
          <w:tcPr>
            <w:tcW w:type="dxa" w:w="3168"/>
            <w:vAlign w:val="center"/>
            <w:shd w:val="clear" w:color="auto" w:fill="F2F2F2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State income tax withheld</w:t>
            </w:r>
          </w:p>
        </w:tc>
        <w:tc>
          <w:tcPr>
            <w:tcW w:type="dxa" w:w="1584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$1,221.79</w:t>
            </w:r>
          </w:p>
        </w:tc>
        <w:tc>
          <w:tcPr>
            <w:tcW w:type="dxa" w:w="1584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–</w:t>
            </w:r>
          </w:p>
        </w:tc>
        <w:tc>
          <w:tcPr>
            <w:tcW w:type="dxa" w:w="1872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$1,221.79</w:t>
            </w:r>
          </w:p>
        </w:tc>
        <w:tc>
          <w:tcPr>
            <w:tcW w:type="dxa" w:w="1728"/>
            <w:vAlign w:val="center"/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Oct 15, 2026</w:t>
            </w:r>
          </w:p>
        </w:tc>
      </w:tr>
      <w:tr>
        <w:trPr>
          <w:cantSplit/>
          <w:trHeight w:val="330"/>
        </w:trPr>
        <w:tc>
          <w:tcPr>
            <w:tcW w:type="dxa" w:w="316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401(k) contributions</w:t>
            </w:r>
          </w:p>
        </w:tc>
        <w:tc>
          <w:tcPr>
            <w:tcW w:type="dxa" w:w="1584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$1,378.96</w:t>
            </w:r>
          </w:p>
        </w:tc>
        <w:tc>
          <w:tcPr>
            <w:tcW w:type="dxa" w:w="1584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–</w:t>
            </w:r>
          </w:p>
        </w:tc>
        <w:tc>
          <w:tcPr>
            <w:tcW w:type="dxa" w:w="1872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$1,378.96</w:t>
            </w:r>
          </w:p>
        </w:tc>
        <w:tc>
          <w:tcPr>
            <w:tcW w:type="dxa" w:w="1728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Oct 6, 2026</w:t>
            </w:r>
          </w:p>
        </w:tc>
      </w:tr>
      <w:tr>
        <w:trPr>
          <w:cantSplit/>
          <w:trHeight w:val="330"/>
        </w:trPr>
        <w:tc>
          <w:tcPr>
            <w:tcW w:type="dxa" w:w="3168"/>
            <w:vAlign w:val="center"/>
            <w:shd w:val="clear" w:color="auto" w:fill="F2F2F2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Health insurance premiums</w:t>
            </w:r>
          </w:p>
        </w:tc>
        <w:tc>
          <w:tcPr>
            <w:tcW w:type="dxa" w:w="1584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$1,590.00</w:t>
            </w:r>
          </w:p>
        </w:tc>
        <w:tc>
          <w:tcPr>
            <w:tcW w:type="dxa" w:w="1584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–</w:t>
            </w:r>
          </w:p>
        </w:tc>
        <w:tc>
          <w:tcPr>
            <w:tcW w:type="dxa" w:w="1872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$1,590.00</w:t>
            </w:r>
          </w:p>
        </w:tc>
        <w:tc>
          <w:tcPr>
            <w:tcW w:type="dxa" w:w="1728"/>
            <w:vAlign w:val="center"/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Nov 1, 2026</w:t>
            </w:r>
          </w:p>
        </w:tc>
      </w:tr>
      <w:tr>
        <w:trPr>
          <w:cantSplit/>
          <w:trHeight w:val="330"/>
        </w:trPr>
        <w:tc>
          <w:tcPr>
            <w:tcW w:type="dxa" w:w="3168"/>
            <w:vAlign w:val="center"/>
            <w:shd w:val="clear" w:color="auto" w:fill="EAF0F7"/>
          </w:tcPr>
          <w:p>
            <w:pPr>
              <w:spacing w:after="0" w:before="0"/>
            </w:pPr>
            <w:r/>
            <w:r>
              <w:rPr>
                <w:b/>
                <w:color w:val="1F3864"/>
                <w:sz w:val="20"/>
              </w:rPr>
              <w:t>Total</w:t>
            </w:r>
          </w:p>
        </w:tc>
        <w:tc>
          <w:tcPr>
            <w:tcW w:type="dxa" w:w="1584"/>
            <w:vAlign w:val="center"/>
            <w:shd w:val="clear" w:color="auto" w:fill="EAF0F7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1F3864"/>
                <w:sz w:val="20"/>
              </w:rPr>
              <w:t>$9,853.24</w:t>
            </w:r>
          </w:p>
        </w:tc>
        <w:tc>
          <w:tcPr>
            <w:tcW w:type="dxa" w:w="1584"/>
            <w:vAlign w:val="center"/>
            <w:shd w:val="clear" w:color="auto" w:fill="EAF0F7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1F3864"/>
                <w:sz w:val="20"/>
              </w:rPr>
              <w:t>$2,442.18</w:t>
            </w:r>
          </w:p>
        </w:tc>
        <w:tc>
          <w:tcPr>
            <w:tcW w:type="dxa" w:w="1872"/>
            <w:vAlign w:val="center"/>
            <w:shd w:val="clear" w:color="auto" w:fill="EAF0F7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1F3864"/>
                <w:sz w:val="20"/>
              </w:rPr>
              <w:t>$12,295.42</w:t>
            </w:r>
          </w:p>
        </w:tc>
        <w:tc>
          <w:tcPr>
            <w:tcW w:type="dxa" w:w="1728"/>
            <w:vAlign w:val="center"/>
            <w:shd w:val="clear" w:color="auto" w:fill="EAF0F7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1F3864"/>
                <w:sz w:val="20"/>
              </w:rPr>
            </w:r>
          </w:p>
        </w:tc>
      </w:tr>
    </w:tbl>
    <w:p>
      <w:pPr>
        <w:pStyle w:val="Heading2"/>
      </w:pPr>
      <w:r>
        <w:t>Notes</w:t>
      </w:r>
    </w:p>
    <w:p>
      <w:pPr>
        <w:pStyle w:val="ListBullet"/>
        <w:spacing w:after="40"/>
      </w:pPr>
      <w:r>
        <w:t>Field Services logged 26.5 of the 38 overtime hours while clearing the storm-repair backlog; overtime should fall next period as two new technicians start on October 5.</w:t>
      </w:r>
    </w:p>
    <w:p>
      <w:pPr>
        <w:pStyle w:val="ListBullet"/>
        <w:spacing w:after="40"/>
      </w:pPr>
      <w:r>
        <w:t>Bonuses of $3,700.00 include Q3 sales commissions for Priya Nair, Kevin Doyle and Emily Turner and a $500 safety award in Operations.</w:t>
      </w:r>
    </w:p>
    <w:p>
      <w:pPr>
        <w:pStyle w:val="ListBullet"/>
        <w:spacing w:after="40"/>
      </w:pPr>
      <w:r>
        <w:t>Tom Becker worked 76 regular hours and Rachel Kim 72 hours due to approved unpaid leave; both are reflected in regular pay.</w:t>
      </w:r>
    </w:p>
    <w:p>
      <w:pPr>
        <w:pStyle w:val="ListBullet"/>
        <w:spacing w:after="40"/>
      </w:pPr>
      <w:r>
        <w:t>Federal tax and FICA deposits follow the semiweekly schedule; confirm the EFTPS payment before October 7, 2026.</w:t>
      </w:r>
    </w:p>
    <w:p>
      <w:pPr>
        <w:pStyle w:val="Heading1"/>
      </w:pPr>
      <w:r>
        <w:t>Approval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D3E0"/>
          <w:left w:val="single" w:sz="4" w:color="C9D3E0"/>
          <w:bottom w:val="single" w:sz="4" w:color="C9D3E0"/>
          <w:right w:val="single" w:sz="4" w:color="C9D3E0"/>
          <w:insideH w:val="single" w:sz="4" w:color="C9D3E0"/>
          <w:insideV w:val="single" w:sz="4" w:color="C9D3E0"/>
        </w:tblBorders>
        <w:tblLayout w:type="fixed"/>
      </w:tblPr>
      <w:tblGrid>
        <w:gridCol w:w="1872"/>
        <w:gridCol w:w="3744"/>
        <w:gridCol w:w="2736"/>
        <w:gridCol w:w="1584"/>
      </w:tblGrid>
      <w:tr>
        <w:tc>
          <w:tcPr>
            <w:tcW w:type="dxa" w:w="1872"/>
            <w:vAlign w:val="center"/>
            <w:shd w:val="clear" w:color="auto" w:fill="1F3864"/>
          </w:tcPr>
          <w:p>
            <w:pPr>
              <w:spacing w:after="0" w:before="0"/>
            </w:pPr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3744"/>
            <w:vAlign w:val="center"/>
            <w:shd w:val="clear" w:color="auto" w:fill="1F3864"/>
          </w:tcPr>
          <w:p>
            <w:pPr>
              <w:spacing w:after="0" w:before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2736"/>
            <w:vAlign w:val="center"/>
            <w:shd w:val="clear" w:color="auto" w:fill="1F3864"/>
          </w:tcPr>
          <w:p>
            <w:pPr>
              <w:spacing w:after="0" w:before="0"/>
            </w:pPr>
            <w:r/>
            <w:r>
              <w:rPr>
                <w:b/>
                <w:color w:val="FFFFFF"/>
                <w:sz w:val="19"/>
              </w:rPr>
              <w:t>Signature</w:t>
            </w:r>
          </w:p>
        </w:tc>
        <w:tc>
          <w:tcPr>
            <w:tcW w:type="dxa" w:w="1584"/>
            <w:vAlign w:val="center"/>
            <w:shd w:val="clear" w:color="auto" w:fill="1F3864"/>
          </w:tcPr>
          <w:p>
            <w:pPr>
              <w:spacing w:after="0" w:before="0"/>
            </w:pPr>
            <w:r/>
            <w:r>
              <w:rPr>
                <w:b/>
                <w:color w:val="FFFFFF"/>
                <w:sz w:val="19"/>
              </w:rPr>
              <w:t>Date</w:t>
            </w:r>
          </w:p>
        </w:tc>
      </w:tr>
      <w:tr>
        <w:trPr>
          <w:trHeight w:val="480"/>
        </w:trPr>
        <w:tc>
          <w:tcPr>
            <w:tcW w:type="dxa" w:w="1872"/>
            <w:vAlign w:val="center"/>
            <w:shd w:val="clear" w:color="auto" w:fill="EAF0F7"/>
          </w:tcPr>
          <w:p>
            <w:pPr>
              <w:spacing w:after="0" w:before="0"/>
            </w:pPr>
            <w:r/>
            <w:r>
              <w:rPr>
                <w:b/>
                <w:color w:val="1F3864"/>
                <w:sz w:val="20"/>
              </w:rPr>
              <w:t>Prepared by</w:t>
            </w:r>
          </w:p>
        </w:tc>
        <w:tc>
          <w:tcPr>
            <w:tcW w:type="dxa" w:w="374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Nicole Grant, Payroll Administrator</w:t>
            </w:r>
          </w:p>
        </w:tc>
        <w:tc>
          <w:tcPr>
            <w:tcW w:type="dxa" w:w="2736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80"/>
        </w:trPr>
        <w:tc>
          <w:tcPr>
            <w:tcW w:type="dxa" w:w="1872"/>
            <w:vAlign w:val="center"/>
            <w:shd w:val="clear" w:color="auto" w:fill="EAF0F7"/>
          </w:tcPr>
          <w:p>
            <w:pPr>
              <w:spacing w:after="0" w:before="0"/>
            </w:pPr>
            <w:r/>
            <w:r>
              <w:rPr>
                <w:b/>
                <w:color w:val="1F3864"/>
                <w:sz w:val="20"/>
              </w:rPr>
              <w:t>Reviewed by</w:t>
            </w:r>
          </w:p>
        </w:tc>
        <w:tc>
          <w:tcPr>
            <w:tcW w:type="dxa" w:w="374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James Holloway, Controller</w:t>
            </w:r>
          </w:p>
        </w:tc>
        <w:tc>
          <w:tcPr>
            <w:tcW w:type="dxa" w:w="2736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80"/>
        </w:trPr>
        <w:tc>
          <w:tcPr>
            <w:tcW w:type="dxa" w:w="1872"/>
            <w:vAlign w:val="center"/>
            <w:shd w:val="clear" w:color="auto" w:fill="EAF0F7"/>
          </w:tcPr>
          <w:p>
            <w:pPr>
              <w:spacing w:after="0" w:before="0"/>
            </w:pPr>
            <w:r/>
            <w:r>
              <w:rPr>
                <w:b/>
                <w:color w:val="1F3864"/>
                <w:sz w:val="20"/>
              </w:rPr>
              <w:t>Approved by</w:t>
            </w:r>
          </w:p>
        </w:tc>
        <w:tc>
          <w:tcPr>
            <w:tcW w:type="dxa" w:w="374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Karen Whitfield, Owner</w:t>
            </w:r>
          </w:p>
        </w:tc>
        <w:tc>
          <w:tcPr>
            <w:tcW w:type="dxa" w:w="2736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864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5959"/>
        <w:sz w:val="16"/>
      </w:rPr>
      <w:t xml:space="preserve">Brookfield Home Services LLC · Payroll Summary · Confidential – contains employee pay information · Page </w:t>
    </w:r>
    <w:r>
      <w:rPr>
        <w:color w:val="595959"/>
        <w:sz w:val="16"/>
      </w:rPr>
      <w:fldChar w:fldCharType="begin"/>
    </w:r>
    <w:r>
      <w:rPr>
        <w:color w:val="595959"/>
        <w:sz w:val="16"/>
      </w:rPr>
      <w:instrText xml:space="preserve">PAGE</w:instrText>
    </w:r>
    <w:r>
      <w:rPr>
        <w:color w:val="595959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/>
      <w:b/>
      <w:bCs/>
      <w:color w:val="1F386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Calibri" w:hAnsi="Calibri"/>
      <w:b/>
      <w:bCs/>
      <w:color w:val="1F386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Payroll Summary Report</dc:title>
  <dc:subject/>
  <dc:creator>reportsexcel.com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