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Rockwell" w:hAnsi="Rockwell" w:cs="Rockwell" w:eastAsia="Rockwell"/>
          <w:b/>
          <w:i w:val="0"/>
          <w:color w:val="6E1C30"/>
          <w:sz w:val="40"/>
        </w:rPr>
        <w:t>CASH DRAWER COUNT SHEET</w:t>
      </w:r>
    </w:p>
    <w:p>
      <w:pPr>
        <w:spacing w:after="160"/>
        <w:jc w:val="center"/>
        <w:pBdr>
          <w:bottom w:val="double" w:sz="6" w:space="6" w:color="9E2B45"/>
        </w:pBdr>
      </w:pPr>
      <w:r>
        <w:rPr>
          <w:rFonts w:ascii="Courier New" w:hAnsi="Courier New" w:cs="Courier New" w:eastAsia="Courier New"/>
          <w:b w:val="0"/>
          <w:i w:val="0"/>
          <w:color w:val="7A6E70"/>
          <w:sz w:val="17"/>
        </w:rPr>
        <w:t>Copperleaf Bakery Café · Store 4 (illustrative) · one sheet per drawer, per close</w:t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40" w:type="dxa"/>
          <w:left w:w="80" w:type="dxa"/>
          <w:bottom w:w="40" w:type="dxa"/>
          <w:right w:w="80" w:type="dxa"/>
        </w:tblCellMar>
        <w:tblLayout w:type="fixed"/>
      </w:tblPr>
      <w:tblGrid>
        <w:gridCol w:w="2448"/>
        <w:gridCol w:w="2448"/>
        <w:gridCol w:w="2448"/>
        <w:gridCol w:w="2448"/>
      </w:tblGrid>
      <w:tr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7A6E70"/>
                <w:sz w:val="15"/>
              </w:rPr>
              <w:t>DATE</w:t>
            </w:r>
          </w:p>
        </w:tc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7A6E70"/>
                <w:sz w:val="15"/>
              </w:rPr>
              <w:t>DRAWER</w:t>
            </w:r>
          </w:p>
        </w:tc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7A6E70"/>
                <w:sz w:val="15"/>
              </w:rPr>
              <w:t>COUNTED BY</w:t>
            </w:r>
          </w:p>
        </w:tc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7A6E70"/>
                <w:sz w:val="15"/>
              </w:rPr>
              <w:t>WITNESS</w:t>
            </w:r>
          </w:p>
        </w:tc>
      </w:tr>
      <w:tr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2A2326"/>
                <w:sz w:val="19"/>
              </w:rPr>
              <w:t>Thu 22 Oct 2026</w:t>
            </w:r>
          </w:p>
        </w:tc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2A2326"/>
                <w:sz w:val="19"/>
              </w:rPr>
              <w:t>R1 front counter</w:t>
            </w:r>
          </w:p>
        </w:tc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2A2326"/>
                <w:sz w:val="19"/>
              </w:rPr>
              <w:t>K. Mensah</w:t>
            </w:r>
          </w:p>
        </w:tc>
        <w:tc>
          <w:tcPr>
            <w:tcW w:type="dxa" w:w="2448"/>
            <w:vAlign w:val="center"/>
            <w:shd w:val="clear" w:color="auto" w:fill="FBF7EF"/>
          </w:tcPr>
          <w:p>
            <w:r/>
            <w:r>
              <w:rPr>
                <w:rFonts w:ascii="Courier New" w:hAnsi="Courier New" w:cs="Courier New" w:eastAsia="Courier New"/>
                <w:b/>
                <w:i w:val="0"/>
                <w:color w:val="2A2326"/>
                <w:sz w:val="19"/>
              </w:rPr>
              <w:t>J. Ruiz</w:t>
            </w:r>
          </w:p>
        </w:tc>
      </w:tr>
    </w:tbl>
    <w:p>
      <w:pPr>
        <w:spacing w:after="40"/>
      </w:pPr>
    </w:p>
    <w:tbl>
      <w:tblPr>
        <w:tblW w:type="auto" w:w="0"/>
        <w:tblLayout w:type="fixed"/>
        <w:tblLook w:firstColumn="1" w:firstRow="1" w:lastColumn="0" w:lastRow="0" w:noHBand="0" w:noVBand="1" w:val="04A0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4536"/>
        <w:gridCol w:w="4896"/>
      </w:tblGrid>
      <w:tr>
        <w:tc>
          <w:tcPr>
            <w:tcW w:type="dxa" w:w="4536"/>
          </w:tcPr>
          <w:p>
            <w:r/>
          </w:p>
          <w:tbl>
            <w:tblPr>
              <w:tblW w:type="auto" w:w="0"/>
              <w:tblLook w:firstColumn="1" w:firstRow="1" w:lastColumn="0" w:lastRow="0" w:noHBand="0" w:noVBand="1" w:val="04A0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top w:w="22" w:type="dxa"/>
                <w:left w:w="60" w:type="dxa"/>
                <w:bottom w:w="22" w:type="dxa"/>
                <w:right w:w="60" w:type="dxa"/>
              </w:tblCellMar>
              <w:tblLayout w:type="fixed"/>
            </w:tblPr>
            <w:tblGrid>
              <w:gridCol w:w="1728"/>
              <w:gridCol w:w="864"/>
              <w:gridCol w:w="1440"/>
            </w:tblGrid>
            <w:tr>
              <w:tc>
                <w:tcPr>
                  <w:tcW w:type="dxa" w:w="1728"/>
                  <w:shd w:val="clear" w:color="auto" w:fill="9E2B45"/>
                  <w:vAlign w:val="center"/>
                </w:tcPr>
                <w:p>
                  <w:r/>
                  <w:r>
                    <w:rPr>
                      <w:rFonts w:ascii="Rockwell" w:hAnsi="Rockwell" w:cs="Rockwell" w:eastAsia="Rockwell"/>
                      <w:b/>
                      <w:i w:val="0"/>
                      <w:color w:val="FFFFFF"/>
                      <w:sz w:val="17"/>
                    </w:rPr>
                    <w:t>Denomination</w:t>
                  </w:r>
                </w:p>
              </w:tc>
              <w:tc>
                <w:tcPr>
                  <w:tcW w:type="dxa" w:w="864"/>
                  <w:shd w:val="clear" w:color="auto" w:fill="9E2B45"/>
                  <w:vAlign w:val="center"/>
                </w:tcPr>
                <w:p>
                  <w:pPr>
                    <w:jc w:val="right"/>
                  </w:pPr>
                  <w:r/>
                  <w:r>
                    <w:rPr>
                      <w:rFonts w:ascii="Rockwell" w:hAnsi="Rockwell" w:cs="Rockwell" w:eastAsia="Rockwell"/>
                      <w:b/>
                      <w:i w:val="0"/>
                      <w:color w:val="FFFFFF"/>
                      <w:sz w:val="17"/>
                    </w:rPr>
                    <w:t>Qty</w:t>
                  </w:r>
                </w:p>
              </w:tc>
              <w:tc>
                <w:tcPr>
                  <w:tcW w:type="dxa" w:w="1440"/>
                  <w:shd w:val="clear" w:color="auto" w:fill="9E2B45"/>
                  <w:vAlign w:val="center"/>
                </w:tcPr>
                <w:p>
                  <w:pPr>
                    <w:jc w:val="right"/>
                  </w:pPr>
                  <w:r/>
                  <w:r>
                    <w:rPr>
                      <w:rFonts w:ascii="Rockwell" w:hAnsi="Rockwell" w:cs="Rockwell" w:eastAsia="Rockwell"/>
                      <w:b/>
                      <w:i w:val="0"/>
                      <w:color w:val="FFFFFF"/>
                      <w:sz w:val="17"/>
                    </w:rPr>
                    <w:t>Amount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$100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2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200.00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$50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3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150.00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$20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41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820.00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$10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27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270.00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$5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33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165.00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$1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88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88.00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25¢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46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11.50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10¢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38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3.80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5¢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22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1.10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1¢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64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0.64</w:t>
                  </w:r>
                </w:p>
              </w:tc>
            </w:tr>
            <w:tr>
              <w:tc>
                <w:tcPr>
                  <w:tcW w:type="dxa" w:w="1728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Rolls</w:t>
                  </w:r>
                </w:p>
              </w:tc>
              <w:tc>
                <w:tcPr>
                  <w:tcW w:type="dxa" w:w="864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—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10.00</w:t>
                  </w:r>
                </w:p>
              </w:tc>
            </w:tr>
            <w:tr>
              <w:tc>
                <w:tcPr>
                  <w:tcW w:type="dxa" w:w="1728"/>
                  <w:shd w:val="clear" w:color="auto" w:fill="F1E9DA"/>
                  <w:vAlign w:val="center"/>
                </w:tcPr>
                <w:p>
                  <w:r/>
                  <w:r>
                    <w:rPr>
                      <w:rFonts w:ascii="Rockwell" w:hAnsi="Rockwell" w:cs="Rockwell" w:eastAsia="Rockwell"/>
                      <w:b/>
                      <w:i w:val="0"/>
                      <w:color w:val="6E1C30"/>
                      <w:sz w:val="20"/>
                    </w:rPr>
                    <w:t>Counted</w:t>
                  </w:r>
                </w:p>
              </w:tc>
              <w:tc>
                <w:tcPr>
                  <w:tcW w:type="dxa" w:w="864"/>
                  <w:shd w:val="clear" w:color="auto" w:fill="F1E9DA"/>
                  <w:vAlign w:val="center"/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color w:val="6E1C30"/>
                      <w:sz w:val="20"/>
                    </w:rPr>
                  </w:r>
                </w:p>
              </w:tc>
              <w:tc>
                <w:tcPr>
                  <w:tcW w:type="dxa" w:w="1440"/>
                  <w:shd w:val="clear" w:color="auto" w:fill="F1E9DA"/>
                  <w:vAlign w:val="center"/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color w:val="6E1C30"/>
                      <w:sz w:val="20"/>
                    </w:rPr>
                    <w:t>1,720.04</w:t>
                  </w:r>
                </w:p>
              </w:tc>
            </w:tr>
          </w:tbl>
          <w:p/>
        </w:tc>
        <w:tc>
          <w:tcPr>
            <w:tcW w:type="dxa" w:w="4896"/>
          </w:tcPr>
          <w:p>
            <w:r/>
          </w:p>
          <w:tbl>
            <w:tblPr>
              <w:tblW w:type="auto" w:w="0"/>
              <w:tblLook w:firstColumn="1" w:firstRow="1" w:lastColumn="0" w:lastRow="0" w:noHBand="0" w:noVBand="1" w:val="04A0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top w:w="22" w:type="dxa"/>
                <w:left w:w="60" w:type="dxa"/>
                <w:bottom w:w="22" w:type="dxa"/>
                <w:right w:w="60" w:type="dxa"/>
              </w:tblCellMar>
              <w:tblLayout w:type="fixed"/>
            </w:tblPr>
            <w:tblGrid>
              <w:gridCol w:w="2880"/>
              <w:gridCol w:w="1440"/>
            </w:tblGrid>
            <w:tr>
              <w:tc>
                <w:tcPr>
                  <w:tcW w:type="dxa" w:w="2880"/>
                  <w:shd w:val="clear" w:color="auto" w:fill="9E2B45"/>
                  <w:vAlign w:val="center"/>
                </w:tcPr>
                <w:p>
                  <w:r/>
                  <w:r>
                    <w:rPr>
                      <w:rFonts w:ascii="Rockwell" w:hAnsi="Rockwell" w:cs="Rockwell" w:eastAsia="Rockwell"/>
                      <w:b/>
                      <w:i w:val="0"/>
                      <w:color w:val="FFFFFF"/>
                      <w:sz w:val="17"/>
                    </w:rPr>
                    <w:t>Reconcile</w:t>
                  </w:r>
                </w:p>
              </w:tc>
              <w:tc>
                <w:tcPr>
                  <w:tcW w:type="dxa" w:w="1440"/>
                  <w:shd w:val="clear" w:color="auto" w:fill="9E2B45"/>
                  <w:vAlign w:val="center"/>
                </w:tcPr>
                <w:p>
                  <w:pPr>
                    <w:jc w:val="right"/>
                  </w:pPr>
                  <w:r/>
                  <w:r>
                    <w:rPr>
                      <w:rFonts w:ascii="Rockwell" w:hAnsi="Rockwell" w:cs="Rockwell" w:eastAsia="Rockwell"/>
                      <w:b/>
                      <w:i w:val="0"/>
                      <w:color w:val="FFFFFF"/>
                      <w:sz w:val="17"/>
                    </w:rPr>
                    <w:t>Amount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Opening float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200.00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+ Cash sales (Z)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1,562.35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+ Paid-ins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0.00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− Paid-outs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38.75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= Expected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1,723.60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Counted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1,720.04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Over / (short)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(3.56)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Float kept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200.00</w:t>
                  </w:r>
                </w:p>
              </w:tc>
            </w:tr>
            <w:tr>
              <w:tc>
                <w:tcPr>
                  <w:tcW w:type="dxa" w:w="2880"/>
                  <w:vAlign w:val="center"/>
                  <w:tcBorders>
                    <w:bottom w:val="dashed" w:sz="4" w:color="CDBFAE" w:space="0"/>
                  </w:tcBorders>
                </w:tcPr>
                <w:p>
                  <w:r/>
                  <w:r>
                    <w:rPr>
                      <w:rFonts w:ascii="Courier New" w:hAnsi="Courier New" w:cs="Courier New" w:eastAsia="Courier New"/>
                      <w:b w:val="0"/>
                      <w:i w:val="0"/>
                      <w:sz w:val="19"/>
                    </w:rPr>
                    <w:t>Deposit</w:t>
                  </w:r>
                </w:p>
              </w:tc>
              <w:tc>
                <w:tcPr>
                  <w:tcW w:type="dxa" w:w="1440"/>
                  <w:vAlign w:val="center"/>
                  <w:tcBorders>
                    <w:bottom w:val="dashed" w:sz="4" w:color="CDBFAE" w:space="0"/>
                  </w:tcBorders>
                </w:tcPr>
                <w:p>
                  <w:pPr>
                    <w:jc w:val="right"/>
                  </w:pPr>
                  <w:r/>
                  <w:r>
                    <w:rPr>
                      <w:rFonts w:ascii="Courier New" w:hAnsi="Courier New" w:cs="Courier New" w:eastAsia="Courier New"/>
                      <w:b/>
                      <w:i w:val="0"/>
                      <w:sz w:val="19"/>
                    </w:rPr>
                    <w:t>1,520.04</w:t>
                  </w:r>
                </w:p>
              </w:tc>
            </w:tr>
          </w:tbl>
          <w:p/>
        </w:tc>
      </w:tr>
    </w:tbl>
    <w:p>
      <w:pPr>
        <w:spacing w:before="200"/>
      </w:pPr>
      <w:r>
        <w:rPr>
          <w:rFonts w:ascii="Rockwell" w:hAnsi="Rockwell" w:cs="Rockwell" w:eastAsia="Rockwell"/>
          <w:b/>
          <w:i w:val="0"/>
          <w:color w:val="6E1C30"/>
          <w:sz w:val="20"/>
        </w:rPr>
        <w:t xml:space="preserve">Result: </w:t>
      </w:r>
      <w:r>
        <w:rPr>
          <w:rFonts w:ascii="Courier New" w:hAnsi="Courier New" w:cs="Courier New" w:eastAsia="Courier New"/>
          <w:b w:val="0"/>
          <w:i w:val="0"/>
          <w:sz w:val="18"/>
        </w:rPr>
        <w:t>short $3.56, within the ±$5.00 tolerance. Note the reason and initial. Outside tolerance: recount with a witness before calling the manager.</w:t>
      </w:r>
    </w:p>
    <w:p>
      <w:pPr>
        <w:spacing w:before="80"/>
      </w:pPr>
      <w:r>
        <w:rPr>
          <w:rFonts w:ascii="Rockwell" w:hAnsi="Rockwell" w:cs="Rockwell" w:eastAsia="Rockwell"/>
          <w:b/>
          <w:i w:val="0"/>
          <w:color w:val="6E1C30"/>
          <w:sz w:val="19"/>
        </w:rPr>
        <w:t xml:space="preserve">Paid-outs (attach receipts): </w:t>
      </w:r>
      <w:r>
        <w:rPr>
          <w:rFonts w:ascii="Courier New" w:hAnsi="Courier New" w:cs="Courier New" w:eastAsia="Courier New"/>
          <w:b w:val="0"/>
          <w:i w:val="0"/>
          <w:sz w:val="18"/>
        </w:rPr>
        <w:t>Hillside Dairy, milk, receipt #5521, $38.75</w:t>
      </w:r>
    </w:p>
    <w:p>
      <w:pPr>
        <w:spacing w:before="80"/>
      </w:pPr>
      <w:r>
        <w:rPr>
          <w:rFonts w:ascii="Rockwell" w:hAnsi="Rockwell" w:cs="Rockwell" w:eastAsia="Rockwell"/>
          <w:b/>
          <w:i w:val="0"/>
          <w:color w:val="6E1C30"/>
          <w:sz w:val="19"/>
        </w:rPr>
        <w:t xml:space="preserve">Deposit bag / slip: </w:t>
      </w:r>
      <w:r>
        <w:rPr>
          <w:rFonts w:ascii="Courier New" w:hAnsi="Courier New" w:cs="Courier New" w:eastAsia="Courier New"/>
          <w:b w:val="0"/>
          <w:i w:val="0"/>
          <w:sz w:val="18"/>
        </w:rPr>
        <w:t>B-20418 / 7735     Sealed at 19:14</w:t>
      </w:r>
    </w:p>
    <w:p>
      <w:pPr>
        <w:spacing w:before="320"/>
      </w:pPr>
      <w:r>
        <w:rPr>
          <w:rFonts w:ascii="Courier New" w:hAnsi="Courier New" w:cs="Courier New" w:eastAsia="Courier New"/>
          <w:b w:val="0"/>
          <w:i w:val="0"/>
          <w:color w:val="7A6E70"/>
          <w:sz w:val="18"/>
        </w:rPr>
        <w:t>Counted by ______________   Witness ______________   Manager ______________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Courier New" w:hAnsi="Courier New" w:cs="Courier New" w:eastAsia="Courier New"/>
      <w:color w:val="2A2326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Drawer Count Sheet</dc:title>
  <dc:subject/>
  <dc:creator>reportsexcel.com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