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903"/>
        <w:gridCol w:w="4031"/>
      </w:tblGrid>
      <w:tr>
        <w:tc>
          <w:tcPr>
            <w:tcW w:type="dxa" w:w="5904"/>
          </w:tcPr>
          <w:p>
            <w:r>
              <w:rPr>
                <w:b/>
                <w:color w:val="1F3864"/>
                <w:sz w:val="36"/>
              </w:rPr>
              <w:t>Northwind Supply Co.</w:t>
            </w:r>
          </w:p>
          <w:p>
            <w:r>
              <w:rPr>
                <w:color w:val="595959"/>
                <w:sz w:val="18"/>
              </w:rPr>
              <w:t>1450 Commerce Park Drive, Suite 200 · Columbus, OH 43215</w:t>
              <w:br/>
              <w:t>ar@northwindsupply.com · (614) 555-0182</w:t>
            </w:r>
          </w:p>
        </w:tc>
        <w:tc>
          <w:tcPr>
            <w:tcW w:type="dxa" w:w="4032"/>
          </w:tcPr>
          <w:p>
            <w:pPr>
              <w:jc w:val="right"/>
            </w:pPr>
            <w:r>
              <w:rPr>
                <w:b/>
                <w:color w:val="595959"/>
                <w:sz w:val="22"/>
              </w:rPr>
              <w:t>ACCOUNTS RECEIVABLE</w:t>
            </w:r>
          </w:p>
          <w:p>
            <w:pPr>
              <w:jc w:val="right"/>
            </w:pPr>
            <w:r>
              <w:rPr>
                <w:b/>
                <w:color w:val="1F3864"/>
                <w:sz w:val="32"/>
              </w:rPr>
              <w:t>Aging Summary Report</w:t>
            </w:r>
          </w:p>
        </w:tc>
      </w:tr>
    </w:tbl>
    <w:p>
      <w:pPr>
        <w:pBdr>
          <w:bottom w:val="single" w:sz="12" w:space="4" w:color="1F3864"/>
        </w:pBd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3E0"/>
          <w:left w:val="single" w:sz="4" w:color="C9D3E0"/>
          <w:bottom w:val="single" w:sz="4" w:color="C9D3E0"/>
          <w:right w:val="single" w:sz="4" w:color="C9D3E0"/>
          <w:insideH w:val="single" w:sz="4" w:color="C9D3E0"/>
          <w:insideV w:val="single" w:sz="4" w:color="C9D3E0"/>
        </w:tblBorders>
        <w:tblLayout w:type="fixed"/>
      </w:tblPr>
      <w:tblGrid>
        <w:gridCol w:w="1655"/>
        <w:gridCol w:w="3311"/>
        <w:gridCol w:w="1800"/>
        <w:gridCol w:w="3168"/>
      </w:tblGrid>
      <w:tr>
        <w:tc>
          <w:tcPr>
            <w:tcW w:type="dxa" w:w="1656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Report Date:</w:t>
            </w:r>
          </w:p>
        </w:tc>
        <w:tc>
          <w:tcPr>
            <w:tcW w:type="dxa" w:w="331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September 30, 2026</w:t>
            </w:r>
          </w:p>
        </w:tc>
        <w:tc>
          <w:tcPr>
            <w:tcW w:type="dxa" w:w="1800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Prepared By:</w:t>
            </w:r>
          </w:p>
        </w:tc>
        <w:tc>
          <w:tcPr>
            <w:tcW w:type="dxa" w:w="316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Maria Chen, AR Specialist</w:t>
            </w:r>
          </w:p>
        </w:tc>
      </w:tr>
      <w:tr>
        <w:tc>
          <w:tcPr>
            <w:tcW w:type="dxa" w:w="1656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Aging Basis:</w:t>
            </w:r>
          </w:p>
        </w:tc>
        <w:tc>
          <w:tcPr>
            <w:tcW w:type="dxa" w:w="331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Days past invoice due date</w:t>
            </w:r>
          </w:p>
        </w:tc>
        <w:tc>
          <w:tcPr>
            <w:tcW w:type="dxa" w:w="1800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Standard Terms:</w:t>
            </w:r>
          </w:p>
        </w:tc>
        <w:tc>
          <w:tcPr>
            <w:tcW w:type="dxa" w:w="316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Net 30</w:t>
            </w:r>
          </w:p>
        </w:tc>
      </w:tr>
    </w:tbl>
    <w:p>
      <w:pPr>
        <w:pStyle w:val="Heading1"/>
      </w:pPr>
      <w:r>
        <w:t>Executive Summary</w:t>
      </w:r>
    </w:p>
    <w:p>
      <w:r>
        <w:t>As of September 30, 2026, total accounts receivable stands at $65,890.00 across 12 open invoices and 6 customers. Of this balance, $55,740.00 (84.6%) is past due, and $17,650.00 (26.8%) is more than 90 days overdue. Two accounts, Oakridge Construction and Harbor Point Logistics, hold the oldest balances and are the priority for collection this cycle.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  <w:tblLayout w:type="fixed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vAlign w:val="center"/>
            <w:shd w:val="clear" w:color="auto" w:fill="2E5C8A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8"/>
              </w:rPr>
              <w:t>Total Receivables</w:t>
            </w:r>
          </w:p>
        </w:tc>
        <w:tc>
          <w:tcPr>
            <w:tcW w:type="dxa" w:w="2484"/>
            <w:vAlign w:val="center"/>
            <w:shd w:val="clear" w:color="auto" w:fill="2E5C8A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8"/>
              </w:rPr>
              <w:t>Total Past Due</w:t>
            </w:r>
          </w:p>
        </w:tc>
        <w:tc>
          <w:tcPr>
            <w:tcW w:type="dxa" w:w="2484"/>
            <w:vAlign w:val="center"/>
            <w:shd w:val="clear" w:color="auto" w:fill="2E5C8A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8"/>
              </w:rPr>
              <w:t>Over 90 Days</w:t>
            </w:r>
          </w:p>
        </w:tc>
        <w:tc>
          <w:tcPr>
            <w:tcW w:type="dxa" w:w="2484"/>
            <w:vAlign w:val="center"/>
            <w:shd w:val="clear" w:color="auto" w:fill="2E5C8A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8"/>
              </w:rPr>
              <w:t>% Past Due</w:t>
            </w:r>
          </w:p>
        </w:tc>
      </w:tr>
      <w:tr>
        <w:tc>
          <w:tcPr>
            <w:tcW w:type="dxa" w:w="2484"/>
            <w:vAlign w:val="center"/>
            <w:shd w:val="clear" w:color="auto" w:fill="EAF0F7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1F3864"/>
                <w:sz w:val="28"/>
              </w:rPr>
              <w:t>$65,890.00</w:t>
            </w:r>
          </w:p>
        </w:tc>
        <w:tc>
          <w:tcPr>
            <w:tcW w:type="dxa" w:w="2484"/>
            <w:vAlign w:val="center"/>
            <w:shd w:val="clear" w:color="auto" w:fill="EAF0F7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1F3864"/>
                <w:sz w:val="28"/>
              </w:rPr>
              <w:t>$55,740.00</w:t>
            </w:r>
          </w:p>
        </w:tc>
        <w:tc>
          <w:tcPr>
            <w:tcW w:type="dxa" w:w="2484"/>
            <w:vAlign w:val="center"/>
            <w:shd w:val="clear" w:color="auto" w:fill="EAF0F7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1F3864"/>
                <w:sz w:val="28"/>
              </w:rPr>
              <w:t>$17,650.00</w:t>
            </w:r>
          </w:p>
        </w:tc>
        <w:tc>
          <w:tcPr>
            <w:tcW w:type="dxa" w:w="2484"/>
            <w:vAlign w:val="center"/>
            <w:shd w:val="clear" w:color="auto" w:fill="EAF0F7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1F3864"/>
                <w:sz w:val="28"/>
              </w:rPr>
              <w:t>84.6%</w:t>
            </w:r>
          </w:p>
        </w:tc>
      </w:tr>
    </w:tbl>
    <w:p>
      <w:pPr>
        <w:pStyle w:val="Heading1"/>
      </w:pPr>
      <w:r>
        <w:t>Summary by Aging Bucket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9D3E0"/>
          <w:left w:val="single" w:sz="4" w:color="C9D3E0"/>
          <w:bottom w:val="single" w:sz="4" w:color="C9D3E0"/>
          <w:right w:val="single" w:sz="4" w:color="C9D3E0"/>
          <w:insideH w:val="single" w:sz="4" w:color="C9D3E0"/>
          <w:insideV w:val="single" w:sz="4" w:color="C9D3E0"/>
        </w:tblBorders>
        <w:tblLayout w:type="fixed"/>
      </w:tblPr>
      <w:tblGrid>
        <w:gridCol w:w="3744"/>
        <w:gridCol w:w="1584"/>
        <w:gridCol w:w="2304"/>
        <w:gridCol w:w="2304"/>
      </w:tblGrid>
      <w:tr>
        <w:trPr>
          <w:cantSplit/>
          <w:trHeight w:val="330"/>
        </w:trPr>
        <w:tc>
          <w:tcPr>
            <w:tcW w:type="dxa" w:w="3744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Aging Bucket</w:t>
            </w:r>
          </w:p>
        </w:tc>
        <w:tc>
          <w:tcPr>
            <w:tcW w:type="dxa" w:w="1584"/>
            <w:vAlign w:val="center"/>
            <w:shd w:val="clear" w:color="auto" w:fill="1F3864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9"/>
              </w:rPr>
              <w:t>Invoices</w:t>
            </w:r>
          </w:p>
        </w:tc>
        <w:tc>
          <w:tcPr>
            <w:tcW w:type="dxa" w:w="2304"/>
            <w:vAlign w:val="center"/>
            <w:shd w:val="clear" w:color="auto" w:fill="1F3864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  <w:tc>
          <w:tcPr>
            <w:tcW w:type="dxa" w:w="2304"/>
            <w:vAlign w:val="center"/>
            <w:shd w:val="clear" w:color="auto" w:fill="1F3864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FFFFFF"/>
                <w:sz w:val="19"/>
              </w:rPr>
              <w:t>% of Total AR</w:t>
            </w:r>
          </w:p>
        </w:tc>
      </w:tr>
      <w:tr>
        <w:trPr>
          <w:cantSplit/>
          <w:trHeight w:val="330"/>
        </w:trPr>
        <w:tc>
          <w:tcPr>
            <w:tcW w:type="dxa" w:w="374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Current (not yet due)</w:t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30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$10,150.00</w:t>
            </w:r>
          </w:p>
        </w:tc>
        <w:tc>
          <w:tcPr>
            <w:tcW w:type="dxa" w:w="230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15.4%</w:t>
            </w:r>
          </w:p>
        </w:tc>
      </w:tr>
      <w:tr>
        <w:trPr>
          <w:cantSplit/>
          <w:trHeight w:val="330"/>
        </w:trPr>
        <w:tc>
          <w:tcPr>
            <w:tcW w:type="dxa" w:w="3744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1–30 Days Past Due</w:t>
            </w:r>
          </w:p>
        </w:tc>
        <w:tc>
          <w:tcPr>
            <w:tcW w:type="dxa" w:w="1584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304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$19,175.00</w:t>
            </w:r>
          </w:p>
        </w:tc>
        <w:tc>
          <w:tcPr>
            <w:tcW w:type="dxa" w:w="2304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29.1%</w:t>
            </w:r>
          </w:p>
        </w:tc>
      </w:tr>
      <w:tr>
        <w:trPr>
          <w:cantSplit/>
          <w:trHeight w:val="330"/>
        </w:trPr>
        <w:tc>
          <w:tcPr>
            <w:tcW w:type="dxa" w:w="374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31–60 Days Past Due</w:t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0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$5,340.00</w:t>
            </w:r>
          </w:p>
        </w:tc>
        <w:tc>
          <w:tcPr>
            <w:tcW w:type="dxa" w:w="230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8.1%</w:t>
            </w:r>
          </w:p>
        </w:tc>
      </w:tr>
      <w:tr>
        <w:trPr>
          <w:cantSplit/>
          <w:trHeight w:val="330"/>
        </w:trPr>
        <w:tc>
          <w:tcPr>
            <w:tcW w:type="dxa" w:w="3744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61–90 Days Past Due</w:t>
            </w:r>
          </w:p>
        </w:tc>
        <w:tc>
          <w:tcPr>
            <w:tcW w:type="dxa" w:w="1584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04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$13,575.00</w:t>
            </w:r>
          </w:p>
        </w:tc>
        <w:tc>
          <w:tcPr>
            <w:tcW w:type="dxa" w:w="2304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20.6%</w:t>
            </w:r>
          </w:p>
        </w:tc>
      </w:tr>
      <w:tr>
        <w:trPr>
          <w:cantSplit/>
          <w:trHeight w:val="330"/>
        </w:trPr>
        <w:tc>
          <w:tcPr>
            <w:tcW w:type="dxa" w:w="374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Over 90 Days Past Due</w:t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0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$17,650.00</w:t>
            </w:r>
          </w:p>
        </w:tc>
        <w:tc>
          <w:tcPr>
            <w:tcW w:type="dxa" w:w="2304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26.8%</w:t>
            </w:r>
          </w:p>
        </w:tc>
      </w:tr>
      <w:tr>
        <w:trPr>
          <w:cantSplit/>
          <w:trHeight w:val="330"/>
        </w:trPr>
        <w:tc>
          <w:tcPr>
            <w:tcW w:type="dxa" w:w="3744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Total Receivables</w:t>
            </w:r>
          </w:p>
        </w:tc>
        <w:tc>
          <w:tcPr>
            <w:tcW w:type="dxa" w:w="1584"/>
            <w:vAlign w:val="center"/>
            <w:shd w:val="clear" w:color="auto" w:fill="EAF0F7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1F3864"/>
                <w:sz w:val="20"/>
              </w:rPr>
              <w:t>12</w:t>
            </w:r>
          </w:p>
        </w:tc>
        <w:tc>
          <w:tcPr>
            <w:tcW w:type="dxa" w:w="2304"/>
            <w:vAlign w:val="center"/>
            <w:shd w:val="clear" w:color="auto" w:fill="EAF0F7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3864"/>
                <w:sz w:val="20"/>
              </w:rPr>
              <w:t>$65,890.00</w:t>
            </w:r>
          </w:p>
        </w:tc>
        <w:tc>
          <w:tcPr>
            <w:tcW w:type="dxa" w:w="2304"/>
            <w:vAlign w:val="center"/>
            <w:shd w:val="clear" w:color="auto" w:fill="EAF0F7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1F3864"/>
                <w:sz w:val="20"/>
              </w:rPr>
              <w:t>100.0%</w:t>
            </w:r>
          </w:p>
        </w:tc>
      </w:tr>
    </w:tbl>
    <w:p>
      <w:pPr>
        <w:pStyle w:val="Heading1"/>
      </w:pPr>
      <w:r>
        <w:t>Top Overdue Customers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9D3E0"/>
          <w:left w:val="single" w:sz="4" w:color="C9D3E0"/>
          <w:bottom w:val="single" w:sz="4" w:color="C9D3E0"/>
          <w:right w:val="single" w:sz="4" w:color="C9D3E0"/>
          <w:insideH w:val="single" w:sz="4" w:color="C9D3E0"/>
          <w:insideV w:val="single" w:sz="4" w:color="C9D3E0"/>
        </w:tblBorders>
        <w:tblLayout w:type="fixed"/>
      </w:tblPr>
      <w:tblGrid>
        <w:gridCol w:w="503"/>
        <w:gridCol w:w="3096"/>
        <w:gridCol w:w="1800"/>
        <w:gridCol w:w="1800"/>
        <w:gridCol w:w="1440"/>
        <w:gridCol w:w="1296"/>
      </w:tblGrid>
      <w:tr>
        <w:trPr>
          <w:cantSplit/>
          <w:trHeight w:val="330"/>
        </w:trPr>
        <w:tc>
          <w:tcPr>
            <w:tcW w:type="dxa" w:w="504"/>
            <w:vAlign w:val="center"/>
            <w:shd w:val="clear" w:color="auto" w:fill="1F3864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096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Customer</w:t>
            </w:r>
          </w:p>
        </w:tc>
        <w:tc>
          <w:tcPr>
            <w:tcW w:type="dxa" w:w="1800"/>
            <w:vAlign w:val="center"/>
            <w:shd w:val="clear" w:color="auto" w:fill="1F3864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FFFFFF"/>
                <w:sz w:val="19"/>
              </w:rPr>
              <w:t>Total Balance</w:t>
            </w:r>
          </w:p>
        </w:tc>
        <w:tc>
          <w:tcPr>
            <w:tcW w:type="dxa" w:w="1800"/>
            <w:vAlign w:val="center"/>
            <w:shd w:val="clear" w:color="auto" w:fill="1F3864"/>
          </w:tcPr>
          <w:p>
            <w:pPr>
              <w:spacing w:after="0" w:before="0"/>
              <w:jc w:val="right"/>
            </w:pPr>
            <w:r/>
            <w:r>
              <w:rPr>
                <w:b/>
                <w:color w:val="FFFFFF"/>
                <w:sz w:val="19"/>
              </w:rPr>
              <w:t>Past Due</w:t>
            </w:r>
          </w:p>
        </w:tc>
        <w:tc>
          <w:tcPr>
            <w:tcW w:type="dxa" w:w="1440"/>
            <w:vAlign w:val="center"/>
            <w:shd w:val="clear" w:color="auto" w:fill="1F3864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9"/>
              </w:rPr>
              <w:t>Oldest (Days)</w:t>
            </w:r>
          </w:p>
        </w:tc>
        <w:tc>
          <w:tcPr>
            <w:tcW w:type="dxa" w:w="1296"/>
            <w:vAlign w:val="center"/>
            <w:shd w:val="clear" w:color="auto" w:fill="1F3864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</w:tr>
      <w:tr>
        <w:trPr>
          <w:cantSplit/>
          <w:trHeight w:val="330"/>
        </w:trPr>
        <w:tc>
          <w:tcPr>
            <w:tcW w:type="dxa" w:w="504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Oakridge Construction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$18,775.00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$18,775.00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125</w:t>
            </w:r>
          </w:p>
        </w:tc>
        <w:tc>
          <w:tcPr>
            <w:tcW w:type="dxa" w:w="1296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color w:val="9C0006"/>
                <w:sz w:val="20"/>
              </w:rPr>
              <w:t>Critical</w:t>
            </w:r>
          </w:p>
        </w:tc>
      </w:tr>
      <w:tr>
        <w:trPr>
          <w:cantSplit/>
          <w:trHeight w:val="330"/>
        </w:trPr>
        <w:tc>
          <w:tcPr>
            <w:tcW w:type="dxa" w:w="504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096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Harbor Point Logistics</w:t>
            </w:r>
          </w:p>
        </w:tc>
        <w:tc>
          <w:tcPr>
            <w:tcW w:type="dxa" w:w="1800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$15,050.00</w:t>
            </w:r>
          </w:p>
        </w:tc>
        <w:tc>
          <w:tcPr>
            <w:tcW w:type="dxa" w:w="1800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$15,050.00</w:t>
            </w:r>
          </w:p>
        </w:tc>
        <w:tc>
          <w:tcPr>
            <w:tcW w:type="dxa" w:w="1440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103</w:t>
            </w:r>
          </w:p>
        </w:tc>
        <w:tc>
          <w:tcPr>
            <w:tcW w:type="dxa" w:w="1296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color w:val="9C0006"/>
                <w:sz w:val="20"/>
              </w:rPr>
              <w:t>Critical</w:t>
            </w:r>
          </w:p>
        </w:tc>
      </w:tr>
      <w:tr>
        <w:trPr>
          <w:cantSplit/>
          <w:trHeight w:val="330"/>
        </w:trPr>
        <w:tc>
          <w:tcPr>
            <w:tcW w:type="dxa" w:w="504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Vertex Media Partners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$10,125.00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$10,125.00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61</w:t>
            </w:r>
          </w:p>
        </w:tc>
        <w:tc>
          <w:tcPr>
            <w:tcW w:type="dxa" w:w="1296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color w:val="9C0006"/>
                <w:sz w:val="20"/>
              </w:rPr>
              <w:t>High</w:t>
            </w:r>
          </w:p>
        </w:tc>
      </w:tr>
      <w:tr>
        <w:trPr>
          <w:cantSplit/>
          <w:trHeight w:val="330"/>
        </w:trPr>
        <w:tc>
          <w:tcPr>
            <w:tcW w:type="dxa" w:w="504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3096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Brightline Retail Ltd.</w:t>
            </w:r>
          </w:p>
        </w:tc>
        <w:tc>
          <w:tcPr>
            <w:tcW w:type="dxa" w:w="1800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$11,650.00</w:t>
            </w:r>
          </w:p>
        </w:tc>
        <w:tc>
          <w:tcPr>
            <w:tcW w:type="dxa" w:w="1800"/>
            <w:vAlign w:val="center"/>
            <w:shd w:val="clear" w:color="auto" w:fill="F2F2F2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$6,450.00</w:t>
            </w:r>
          </w:p>
        </w:tc>
        <w:tc>
          <w:tcPr>
            <w:tcW w:type="dxa" w:w="1440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82</w:t>
            </w:r>
          </w:p>
        </w:tc>
        <w:tc>
          <w:tcPr>
            <w:tcW w:type="dxa" w:w="1296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color w:val="9C0006"/>
                <w:sz w:val="20"/>
              </w:rPr>
              <w:t>High</w:t>
            </w:r>
          </w:p>
        </w:tc>
      </w:tr>
      <w:tr>
        <w:trPr>
          <w:cantSplit/>
          <w:trHeight w:val="330"/>
        </w:trPr>
        <w:tc>
          <w:tcPr>
            <w:tcW w:type="dxa" w:w="504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3096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Summit Dental Group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$6,620.00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20"/>
              </w:rPr>
              <w:t>$3,980.00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47</w:t>
            </w:r>
          </w:p>
        </w:tc>
        <w:tc>
          <w:tcPr>
            <w:tcW w:type="dxa" w:w="1296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color w:val="9C0006"/>
                <w:sz w:val="20"/>
              </w:rPr>
              <w:t>Moderate</w:t>
            </w:r>
          </w:p>
        </w:tc>
      </w:tr>
    </w:tbl>
    <w:p>
      <w:r>
        <w:br w:type="page"/>
      </w:r>
    </w:p>
    <w:p>
      <w:pPr>
        <w:pStyle w:val="Heading1"/>
      </w:pPr>
      <w:r>
        <w:t>Collection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9D3E0"/>
          <w:left w:val="single" w:sz="4" w:color="C9D3E0"/>
          <w:bottom w:val="single" w:sz="4" w:color="C9D3E0"/>
          <w:right w:val="single" w:sz="4" w:color="C9D3E0"/>
          <w:insideH w:val="single" w:sz="4" w:color="C9D3E0"/>
          <w:insideV w:val="single" w:sz="4" w:color="C9D3E0"/>
        </w:tblBorders>
        <w:tblLayout w:type="fixed"/>
      </w:tblPr>
      <w:tblGrid>
        <w:gridCol w:w="2520"/>
        <w:gridCol w:w="4680"/>
        <w:gridCol w:w="1296"/>
        <w:gridCol w:w="1440"/>
      </w:tblGrid>
      <w:tr>
        <w:trPr>
          <w:cantSplit/>
          <w:trHeight w:val="330"/>
        </w:trPr>
        <w:tc>
          <w:tcPr>
            <w:tcW w:type="dxa" w:w="2520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Customer</w:t>
            </w:r>
          </w:p>
        </w:tc>
        <w:tc>
          <w:tcPr>
            <w:tcW w:type="dxa" w:w="4680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296"/>
            <w:vAlign w:val="center"/>
            <w:shd w:val="clear" w:color="auto" w:fill="1F3864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440"/>
            <w:vAlign w:val="center"/>
            <w:shd w:val="clear" w:color="auto" w:fill="1F3864"/>
          </w:tcPr>
          <w:p>
            <w:pPr>
              <w:spacing w:after="0" w:before="0"/>
              <w:jc w:val="center"/>
            </w:pPr>
            <w:r/>
            <w:r>
              <w:rPr>
                <w:b/>
                <w:color w:val="FFFFFF"/>
                <w:sz w:val="19"/>
              </w:rPr>
              <w:t>Follow-Up</w:t>
            </w:r>
          </w:p>
        </w:tc>
      </w:tr>
      <w:tr>
        <w:trPr>
          <w:cantSplit/>
          <w:trHeight w:val="330"/>
        </w:trPr>
        <w:tc>
          <w:tcPr>
            <w:tcW w:type="dxa" w:w="25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Oakridge Construction</w:t>
            </w:r>
          </w:p>
        </w:tc>
        <w:tc>
          <w:tcPr>
            <w:tcW w:type="dxa" w:w="468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Call AP manager; request payment plan for INV-1029 ($8,900). Place new orders on credit hold.</w:t>
            </w:r>
          </w:p>
        </w:tc>
        <w:tc>
          <w:tcPr>
            <w:tcW w:type="dxa" w:w="1296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M. Chen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Oct 5, 2026</w:t>
            </w:r>
          </w:p>
        </w:tc>
      </w:tr>
      <w:tr>
        <w:trPr>
          <w:cantSplit/>
          <w:trHeight w:val="330"/>
        </w:trPr>
        <w:tc>
          <w:tcPr>
            <w:tcW w:type="dxa" w:w="2520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Harbor Point Logistics</w:t>
            </w:r>
          </w:p>
        </w:tc>
        <w:tc>
          <w:tcPr>
            <w:tcW w:type="dxa" w:w="4680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Send final demand letter for INV-1035 ($8,750). Escalate to Controller if unpaid in 10 days.</w:t>
            </w:r>
          </w:p>
        </w:tc>
        <w:tc>
          <w:tcPr>
            <w:tcW w:type="dxa" w:w="1296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D. Patel</w:t>
            </w:r>
          </w:p>
        </w:tc>
        <w:tc>
          <w:tcPr>
            <w:tcW w:type="dxa" w:w="1440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Oct 9, 2026</w:t>
            </w:r>
          </w:p>
        </w:tc>
      </w:tr>
      <w:tr>
        <w:trPr>
          <w:cantSplit/>
          <w:trHeight w:val="330"/>
        </w:trPr>
        <w:tc>
          <w:tcPr>
            <w:tcW w:type="dxa" w:w="25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Vertex Media Partners</w:t>
            </w:r>
          </w:p>
        </w:tc>
        <w:tc>
          <w:tcPr>
            <w:tcW w:type="dxa" w:w="468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Confirm PO match on INV-1045; resend invoice copy and statement.</w:t>
            </w:r>
          </w:p>
        </w:tc>
        <w:tc>
          <w:tcPr>
            <w:tcW w:type="dxa" w:w="1296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M. Chen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Oct 3, 2026</w:t>
            </w:r>
          </w:p>
        </w:tc>
      </w:tr>
      <w:tr>
        <w:trPr>
          <w:cantSplit/>
          <w:trHeight w:val="330"/>
        </w:trPr>
        <w:tc>
          <w:tcPr>
            <w:tcW w:type="dxa" w:w="2520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Brightline Retail Ltd.</w:t>
            </w:r>
          </w:p>
        </w:tc>
        <w:tc>
          <w:tcPr>
            <w:tcW w:type="dxa" w:w="4680"/>
            <w:vAlign w:val="center"/>
            <w:shd w:val="clear" w:color="auto" w:fill="F2F2F2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Follow up on remaining $6,450 after partial payment; confirm scheduled pay date.</w:t>
            </w:r>
          </w:p>
        </w:tc>
        <w:tc>
          <w:tcPr>
            <w:tcW w:type="dxa" w:w="1296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M. Chen</w:t>
            </w:r>
          </w:p>
        </w:tc>
        <w:tc>
          <w:tcPr>
            <w:tcW w:type="dxa" w:w="1440"/>
            <w:vAlign w:val="center"/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Oct 6, 2026</w:t>
            </w:r>
          </w:p>
        </w:tc>
      </w:tr>
      <w:tr>
        <w:trPr>
          <w:cantSplit/>
          <w:trHeight w:val="330"/>
        </w:trPr>
        <w:tc>
          <w:tcPr>
            <w:tcW w:type="dxa" w:w="25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Summit Dental Group</w:t>
            </w:r>
          </w:p>
        </w:tc>
        <w:tc>
          <w:tcPr>
            <w:tcW w:type="dxa" w:w="468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Friendly reminder email with statement for INV-1049.</w:t>
            </w:r>
          </w:p>
        </w:tc>
        <w:tc>
          <w:tcPr>
            <w:tcW w:type="dxa" w:w="1296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AR Team</w:t>
            </w:r>
          </w:p>
        </w:tc>
        <w:tc>
          <w:tcPr>
            <w:tcW w:type="dxa" w:w="1440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b w:val="0"/>
                <w:sz w:val="20"/>
              </w:rPr>
              <w:t>Oct 2, 2026</w:t>
            </w:r>
          </w:p>
        </w:tc>
      </w:tr>
    </w:tbl>
    <w:p>
      <w:pPr>
        <w:pStyle w:val="Heading2"/>
      </w:pPr>
      <w:r>
        <w:t>Notes</w:t>
      </w:r>
    </w:p>
    <w:p>
      <w:pPr>
        <w:pStyle w:val="ListBullet"/>
        <w:spacing w:after="40"/>
      </w:pPr>
      <w:r>
        <w:t>Past-due share rose this month mainly because INV-1062 (Oakridge, $9,875) and INV-1058 (Harbor Point, $6,300) moved out of Current.</w:t>
      </w:r>
    </w:p>
    <w:p>
      <w:pPr>
        <w:pStyle w:val="ListBullet"/>
        <w:spacing w:after="40"/>
      </w:pPr>
      <w:r>
        <w:t>Consider a bad-debt allowance review for balances over 90 days ($17,650) before month-end close.</w:t>
      </w:r>
    </w:p>
    <w:p>
      <w:pPr>
        <w:pStyle w:val="ListBullet"/>
        <w:spacing w:after="40"/>
      </w:pPr>
      <w:r>
        <w:t>Greenleaf Café Co. paid $500 toward INV-1053; the remaining $1,360 is expected with the next weekly payment run.</w:t>
      </w:r>
    </w:p>
    <w:p>
      <w:pPr>
        <w:pStyle w:val="Heading1"/>
      </w:pPr>
      <w:r>
        <w:t>Sign-Off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3E0"/>
          <w:left w:val="single" w:sz="4" w:color="C9D3E0"/>
          <w:bottom w:val="single" w:sz="4" w:color="C9D3E0"/>
          <w:right w:val="single" w:sz="4" w:color="C9D3E0"/>
          <w:insideH w:val="single" w:sz="4" w:color="C9D3E0"/>
          <w:insideV w:val="single" w:sz="4" w:color="C9D3E0"/>
        </w:tblBorders>
        <w:tblLayout w:type="fixed"/>
      </w:tblPr>
      <w:tblGrid>
        <w:gridCol w:w="1872"/>
        <w:gridCol w:w="3600"/>
        <w:gridCol w:w="2880"/>
        <w:gridCol w:w="1584"/>
      </w:tblGrid>
      <w:tr>
        <w:tc>
          <w:tcPr>
            <w:tcW w:type="dxa" w:w="1872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3600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880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Signature</w:t>
            </w:r>
          </w:p>
        </w:tc>
        <w:tc>
          <w:tcPr>
            <w:tcW w:type="dxa" w:w="1584"/>
            <w:vAlign w:val="center"/>
            <w:shd w:val="clear" w:color="auto" w:fill="1F3864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</w:tr>
      <w:tr>
        <w:trPr>
          <w:trHeight w:val="480"/>
        </w:trPr>
        <w:tc>
          <w:tcPr>
            <w:tcW w:type="dxa" w:w="1872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Prepared by</w:t>
            </w:r>
          </w:p>
        </w:tc>
        <w:tc>
          <w:tcPr>
            <w:tcW w:type="dxa" w:w="360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Maria Chen, AR Specialist</w:t>
            </w:r>
          </w:p>
        </w:tc>
        <w:tc>
          <w:tcPr>
            <w:tcW w:type="dxa" w:w="288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80"/>
        </w:trPr>
        <w:tc>
          <w:tcPr>
            <w:tcW w:type="dxa" w:w="1872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Reviewed by</w:t>
            </w:r>
          </w:p>
        </w:tc>
        <w:tc>
          <w:tcPr>
            <w:tcW w:type="dxa" w:w="360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Daniel Patel, Controller</w:t>
            </w:r>
          </w:p>
        </w:tc>
        <w:tc>
          <w:tcPr>
            <w:tcW w:type="dxa" w:w="288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80"/>
        </w:trPr>
        <w:tc>
          <w:tcPr>
            <w:tcW w:type="dxa" w:w="1872"/>
            <w:vAlign w:val="center"/>
            <w:shd w:val="clear" w:color="auto" w:fill="EAF0F7"/>
          </w:tcPr>
          <w:p>
            <w:pPr>
              <w:spacing w:after="0" w:before="0"/>
            </w:pPr>
            <w:r/>
            <w:r>
              <w:rPr>
                <w:b/>
                <w:color w:val="1F3864"/>
                <w:sz w:val="20"/>
              </w:rPr>
              <w:t>Approved by</w:t>
            </w:r>
          </w:p>
        </w:tc>
        <w:tc>
          <w:tcPr>
            <w:tcW w:type="dxa" w:w="360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Laura Simmons, CFO</w:t>
            </w:r>
          </w:p>
        </w:tc>
        <w:tc>
          <w:tcPr>
            <w:tcW w:type="dxa" w:w="288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864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 xml:space="preserve">Northwind Supply Co. · AR Aging Summary · Confidential – internal use only · Page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PAGE</w:instrText>
    </w:r>
    <w:r>
      <w:rPr>
        <w:color w:val="595959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/>
      <w:b/>
      <w:bCs/>
      <w:color w:val="1F386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 Aging Summary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