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160" w:type="dxa"/>
          <w:bottom w:w="110" w:type="dxa"/>
          <w:right w:w="16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3B4249"/>
          </w:tcPr>
          <w:p>
            <w:r>
              <w:rPr>
                <w:rFonts w:ascii="Consolas" w:hAnsi="Consolas" w:cs="Consolas" w:eastAsia="Consolas"/>
                <w:b/>
                <w:i w:val="0"/>
                <w:color w:val="C2B280"/>
                <w:sz w:val="17"/>
              </w:rPr>
              <w:t>AFTER ACTION REPORT</w:t>
            </w:r>
          </w:p>
          <w:p>
            <w:r>
              <w:rPr>
                <w:rFonts w:ascii="Consolas" w:hAnsi="Consolas" w:cs="Consolas" w:eastAsia="Consolas"/>
                <w:b/>
                <w:i w:val="0"/>
                <w:color w:val="FFFFFF"/>
                <w:sz w:val="40"/>
              </w:rPr>
              <w:t>WMS Cutover Weekend</w:t>
            </w:r>
          </w:p>
          <w:p>
            <w:r>
              <w:rPr>
                <w:rFonts w:ascii="Arial Narrow" w:hAnsi="Arial Narrow" w:cs="Arial Narrow" w:eastAsia="Arial Narrow"/>
                <w:b w:val="0"/>
                <w:i w:val="0"/>
                <w:color w:val="D8DCDF"/>
                <w:sz w:val="20"/>
              </w:rPr>
              <w:t>Harbor Point Logistics  ·  Event 9–12 Oct 2026  ·  Review 14 Oct 2026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2304"/>
        <w:gridCol w:w="2808"/>
        <w:gridCol w:w="2664"/>
        <w:gridCol w:w="2160"/>
      </w:tblGrid>
      <w:tr>
        <w:tc>
          <w:tcPr>
            <w:tcW w:type="dxa" w:w="2304"/>
            <w:shd w:val="clear" w:color="auto" w:fill="F3EEDF"/>
          </w:tcPr>
          <w:p>
            <w:r>
              <w:rPr>
                <w:rFonts w:ascii="Consolas" w:hAnsi="Consolas" w:cs="Consolas" w:eastAsia="Consolas"/>
                <w:b/>
                <w:i w:val="0"/>
                <w:color w:val="6E757C"/>
                <w:sz w:val="14"/>
              </w:rPr>
              <w:t>FACILITATOR</w:t>
            </w:r>
          </w:p>
        </w:tc>
        <w:tc>
          <w:tcPr>
            <w:tcW w:type="dxa" w:w="2808"/>
            <w:shd w:val="clear" w:color="auto" w:fill="F3EEDF"/>
          </w:tcPr>
          <w:p>
            <w:r>
              <w:rPr>
                <w:rFonts w:ascii="Consolas" w:hAnsi="Consolas" w:cs="Consolas" w:eastAsia="Consolas"/>
                <w:b/>
                <w:i w:val="0"/>
                <w:color w:val="6E757C"/>
                <w:sz w:val="14"/>
              </w:rPr>
              <w:t>PARTICIPANTS</w:t>
            </w:r>
          </w:p>
        </w:tc>
        <w:tc>
          <w:tcPr>
            <w:tcW w:type="dxa" w:w="2664"/>
            <w:shd w:val="clear" w:color="auto" w:fill="F3EEDF"/>
          </w:tcPr>
          <w:p>
            <w:r>
              <w:rPr>
                <w:rFonts w:ascii="Consolas" w:hAnsi="Consolas" w:cs="Consolas" w:eastAsia="Consolas"/>
                <w:b/>
                <w:i w:val="0"/>
                <w:color w:val="6E757C"/>
                <w:sz w:val="14"/>
              </w:rPr>
              <w:t>CLASSIFICATION</w:t>
            </w:r>
          </w:p>
        </w:tc>
        <w:tc>
          <w:tcPr>
            <w:tcW w:type="dxa" w:w="2160"/>
            <w:shd w:val="clear" w:color="auto" w:fill="F3EEDF"/>
          </w:tcPr>
          <w:p>
            <w:r>
              <w:rPr>
                <w:rFonts w:ascii="Consolas" w:hAnsi="Consolas" w:cs="Consolas" w:eastAsia="Consolas"/>
                <w:b/>
                <w:i w:val="0"/>
                <w:color w:val="6E757C"/>
                <w:sz w:val="14"/>
              </w:rPr>
              <w:t>STATUS</w:t>
            </w:r>
          </w:p>
        </w:tc>
      </w:tr>
      <w:tr>
        <w:tc>
          <w:tcPr>
            <w:tcW w:type="dxa" w:w="2304"/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/>
                <w:i w:val="0"/>
                <w:sz w:val="20"/>
              </w:rPr>
              <w:t>Dana Whitcomb, PMO</w:t>
            </w:r>
          </w:p>
        </w:tc>
        <w:tc>
          <w:tcPr>
            <w:tcW w:type="dxa" w:w="2808"/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/>
                <w:i w:val="0"/>
                <w:sz w:val="20"/>
              </w:rPr>
              <w:t>14 (ops, IT, docks, vendor)</w:t>
            </w:r>
          </w:p>
        </w:tc>
        <w:tc>
          <w:tcPr>
            <w:tcW w:type="dxa" w:w="2664"/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/>
                <w:i w:val="0"/>
                <w:sz w:val="20"/>
              </w:rPr>
              <w:t>Internal · no-blame review</w:t>
            </w:r>
          </w:p>
        </w:tc>
        <w:tc>
          <w:tcPr>
            <w:tcW w:type="dxa" w:w="2160"/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/>
                <w:i w:val="0"/>
                <w:sz w:val="20"/>
              </w:rPr>
              <w:t>Actions open: 6</w:t>
            </w:r>
          </w:p>
        </w:tc>
      </w:tr>
    </w:tbl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576"/>
        <w:gridCol w:w="9360"/>
      </w:tblGrid>
      <w:tr>
        <w:tc>
          <w:tcPr>
            <w:tcW w:type="dxa" w:w="576"/>
            <w:shd w:val="clear" w:color="auto" w:fill="C2B280"/>
            <w:vAlign w:val="center"/>
          </w:tcPr>
          <w:p>
            <w:pPr>
              <w:jc w:val="center"/>
            </w:pPr>
            <w:r>
              <w:rPr>
                <w:rFonts w:ascii="Consolas" w:hAnsi="Consolas" w:cs="Consolas" w:eastAsia="Consolas"/>
                <w:b/>
                <w:i w:val="0"/>
                <w:color w:val="3B4249"/>
                <w:sz w:val="26"/>
              </w:rPr>
              <w:t>1</w:t>
            </w:r>
          </w:p>
        </w:tc>
        <w:tc>
          <w:tcPr>
            <w:tcW w:type="dxa" w:w="9360"/>
            <w:tcBorders>
              <w:bottom w:val="single" w:sz="12" w:color="C2B280" w:space="0"/>
            </w:tcBorders>
            <w:vAlign w:val="center"/>
          </w:tcPr>
          <w:p>
            <w:r>
              <w:rPr>
                <w:rFonts w:ascii="Consolas" w:hAnsi="Consolas" w:cs="Consolas" w:eastAsia="Consolas"/>
                <w:b/>
                <w:i w:val="0"/>
                <w:color w:val="3B4249"/>
                <w:sz w:val="25"/>
              </w:rPr>
              <w:t>What was planned?</w:t>
            </w:r>
          </w:p>
        </w:tc>
      </w:tr>
    </w:tbl>
    <w:p>
      <w:pPr>
        <w:spacing w:after="20" w:before="0"/>
      </w:pPr>
    </w:p>
    <w:p>
      <w:pPr>
        <w:spacing w:after="60" w:before="40"/>
        <w:ind w:left="720"/>
      </w:pPr>
      <w:r>
        <w:rPr>
          <w:rFonts w:ascii="Arial Narrow" w:hAnsi="Arial Narrow" w:cs="Arial Narrow" w:eastAsia="Arial Narrow"/>
          <w:b w:val="0"/>
          <w:i w:val="0"/>
          <w:sz w:val="21"/>
        </w:rPr>
        <w:t>Move all six docks from the legacy WMS to the new system in one weekend. Freeze Friday 18:00, go live Sunday 18:00, ship Monday's first wave at 06:00 at full volume. Success meant 95% of Monday orders shipped the same day, with no stock errors.</w:t>
      </w:r>
    </w:p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576"/>
        <w:gridCol w:w="9360"/>
      </w:tblGrid>
      <w:tr>
        <w:tc>
          <w:tcPr>
            <w:tcW w:type="dxa" w:w="576"/>
            <w:shd w:val="clear" w:color="auto" w:fill="C2B280"/>
            <w:vAlign w:val="center"/>
          </w:tcPr>
          <w:p>
            <w:pPr>
              <w:jc w:val="center"/>
            </w:pPr>
            <w:r>
              <w:rPr>
                <w:rFonts w:ascii="Consolas" w:hAnsi="Consolas" w:cs="Consolas" w:eastAsia="Consolas"/>
                <w:b/>
                <w:i w:val="0"/>
                <w:color w:val="3B4249"/>
                <w:sz w:val="26"/>
              </w:rPr>
              <w:t>2</w:t>
            </w:r>
          </w:p>
        </w:tc>
        <w:tc>
          <w:tcPr>
            <w:tcW w:type="dxa" w:w="9360"/>
            <w:tcBorders>
              <w:bottom w:val="single" w:sz="12" w:color="C2B280" w:space="0"/>
            </w:tcBorders>
            <w:vAlign w:val="center"/>
          </w:tcPr>
          <w:p>
            <w:r>
              <w:rPr>
                <w:rFonts w:ascii="Consolas" w:hAnsi="Consolas" w:cs="Consolas" w:eastAsia="Consolas"/>
                <w:b/>
                <w:i w:val="0"/>
                <w:color w:val="3B4249"/>
                <w:sz w:val="25"/>
              </w:rPr>
              <w:t>What actually happened?</w:t>
            </w:r>
          </w:p>
        </w:tc>
      </w:tr>
    </w:tbl>
    <w:p>
      <w:pPr>
        <w:spacing w:after="20" w:before="0"/>
      </w:pPr>
    </w:p>
    <w:p>
      <w:pPr>
        <w:spacing w:after="60" w:before="40"/>
        <w:ind w:left="720"/>
      </w:pPr>
      <w:r>
        <w:rPr>
          <w:rFonts w:ascii="Arial Narrow" w:hAnsi="Arial Narrow" w:cs="Arial Narrow" w:eastAsia="Arial Narrow"/>
          <w:b w:val="0"/>
          <w:i w:val="0"/>
          <w:sz w:val="21"/>
        </w:rPr>
        <w:t>Data migration went well: inventory accuracy came out at 99.8%. Testing ran 3.5 hours late, and the dock hardware check found that label printers at docks 4 and 5 couldn't print the new labels. Go-live slipped to 23:40 Sunday (+5.7 h). Monday shipped 71% of orders same day; full volume returned Wednesday. Catching up cost 92 extra overtime hours and $6,850 in expedited freight.</w:t>
      </w:r>
    </w:p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576"/>
        <w:gridCol w:w="9360"/>
      </w:tblGrid>
      <w:tr>
        <w:tc>
          <w:tcPr>
            <w:tcW w:type="dxa" w:w="576"/>
            <w:shd w:val="clear" w:color="auto" w:fill="C2B280"/>
            <w:vAlign w:val="center"/>
          </w:tcPr>
          <w:p>
            <w:pPr>
              <w:jc w:val="center"/>
            </w:pPr>
            <w:r>
              <w:rPr>
                <w:rFonts w:ascii="Consolas" w:hAnsi="Consolas" w:cs="Consolas" w:eastAsia="Consolas"/>
                <w:b/>
                <w:i w:val="0"/>
                <w:color w:val="3B4249"/>
                <w:sz w:val="26"/>
              </w:rPr>
              <w:t>3</w:t>
            </w:r>
          </w:p>
        </w:tc>
        <w:tc>
          <w:tcPr>
            <w:tcW w:type="dxa" w:w="9360"/>
            <w:tcBorders>
              <w:bottom w:val="single" w:sz="12" w:color="C2B280" w:space="0"/>
            </w:tcBorders>
            <w:vAlign w:val="center"/>
          </w:tcPr>
          <w:p>
            <w:r>
              <w:rPr>
                <w:rFonts w:ascii="Consolas" w:hAnsi="Consolas" w:cs="Consolas" w:eastAsia="Consolas"/>
                <w:b/>
                <w:i w:val="0"/>
                <w:color w:val="3B4249"/>
                <w:sz w:val="25"/>
              </w:rPr>
              <w:t>Why was there a difference?</w:t>
            </w:r>
          </w:p>
        </w:tc>
      </w:tr>
    </w:tbl>
    <w:p>
      <w:pPr>
        <w:spacing w:after="20" w:before="0"/>
      </w:pPr>
    </w:p>
    <w:p>
      <w:pPr>
        <w:spacing w:after="40" w:before="0"/>
        <w:ind w:left="720"/>
      </w:pPr>
      <w:r>
        <w:rPr>
          <w:rFonts w:ascii="Arial Narrow" w:hAnsi="Arial Narrow" w:cs="Arial Narrow" w:eastAsia="Arial Narrow"/>
          <w:b/>
          <w:i w:val="0"/>
          <w:color w:val="3B4249"/>
          <w:sz w:val="21"/>
        </w:rPr>
        <w:t xml:space="preserve">Root cause.  </w:t>
      </w:r>
      <w:r>
        <w:rPr>
          <w:rFonts w:ascii="Arial Narrow" w:hAnsi="Arial Narrow" w:cs="Arial Narrow" w:eastAsia="Arial Narrow"/>
          <w:b w:val="0"/>
          <w:i w:val="0"/>
          <w:sz w:val="21"/>
        </w:rPr>
        <w:t>The older Zebra printers at docks 4 and 5 were never in test scope. The test lab had one printer model.</w:t>
      </w:r>
    </w:p>
    <w:p>
      <w:pPr>
        <w:spacing w:after="40" w:before="0"/>
        <w:ind w:left="720"/>
      </w:pPr>
      <w:r>
        <w:rPr>
          <w:rFonts w:ascii="Arial Narrow" w:hAnsi="Arial Narrow" w:cs="Arial Narrow" w:eastAsia="Arial Narrow"/>
          <w:b/>
          <w:i w:val="0"/>
          <w:color w:val="3B4249"/>
          <w:sz w:val="21"/>
        </w:rPr>
        <w:t xml:space="preserve">Contributing.  </w:t>
      </w:r>
      <w:r>
        <w:rPr>
          <w:rFonts w:ascii="Arial Narrow" w:hAnsi="Arial Narrow" w:cs="Arial Narrow" w:eastAsia="Arial Narrow"/>
          <w:b w:val="0"/>
          <w:i w:val="0"/>
          <w:sz w:val="21"/>
        </w:rPr>
        <w:t>No go/no-go gate before Sunday, so the delay wasn't escalated until 15:00 on Sunday.</w:t>
      </w:r>
    </w:p>
    <w:p>
      <w:pPr>
        <w:spacing w:after="40" w:before="0"/>
        <w:ind w:left="720"/>
      </w:pPr>
      <w:r>
        <w:rPr>
          <w:rFonts w:ascii="Arial Narrow" w:hAnsi="Arial Narrow" w:cs="Arial Narrow" w:eastAsia="Arial Narrow"/>
          <w:b/>
          <w:i w:val="0"/>
          <w:color w:val="3B4249"/>
          <w:sz w:val="21"/>
        </w:rPr>
        <w:t xml:space="preserve">Contributing.  </w:t>
      </w:r>
      <w:r>
        <w:rPr>
          <w:rFonts w:ascii="Arial Narrow" w:hAnsi="Arial Narrow" w:cs="Arial Narrow" w:eastAsia="Arial Narrow"/>
          <w:b w:val="0"/>
          <w:i w:val="0"/>
          <w:sz w:val="21"/>
        </w:rPr>
        <w:t>Floor training ran three weeks before go-live; most night-shift staff were still unsure on the new scanners.</w:t>
      </w:r>
    </w:p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576"/>
        <w:gridCol w:w="9360"/>
      </w:tblGrid>
      <w:tr>
        <w:tc>
          <w:tcPr>
            <w:tcW w:type="dxa" w:w="576"/>
            <w:shd w:val="clear" w:color="auto" w:fill="C2B280"/>
            <w:vAlign w:val="center"/>
          </w:tcPr>
          <w:p>
            <w:pPr>
              <w:jc w:val="center"/>
            </w:pPr>
            <w:r>
              <w:rPr>
                <w:rFonts w:ascii="Consolas" w:hAnsi="Consolas" w:cs="Consolas" w:eastAsia="Consolas"/>
                <w:b/>
                <w:i w:val="0"/>
                <w:color w:val="3B4249"/>
                <w:sz w:val="26"/>
              </w:rPr>
              <w:t>4</w:t>
            </w:r>
          </w:p>
        </w:tc>
        <w:tc>
          <w:tcPr>
            <w:tcW w:type="dxa" w:w="9360"/>
            <w:tcBorders>
              <w:bottom w:val="single" w:sz="12" w:color="C2B280" w:space="0"/>
            </w:tcBorders>
            <w:vAlign w:val="center"/>
          </w:tcPr>
          <w:p>
            <w:r>
              <w:rPr>
                <w:rFonts w:ascii="Consolas" w:hAnsi="Consolas" w:cs="Consolas" w:eastAsia="Consolas"/>
                <w:b/>
                <w:i w:val="0"/>
                <w:color w:val="3B4249"/>
                <w:sz w:val="25"/>
              </w:rPr>
              <w:t>What will we sustain, and what will we improve?</w:t>
            </w:r>
          </w:p>
        </w:tc>
      </w:tr>
    </w:tbl>
    <w:p>
      <w:pPr>
        <w:spacing w:after="2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5616"/>
        <w:gridCol w:w="1296"/>
        <w:gridCol w:w="1800"/>
        <w:gridCol w:w="1224"/>
      </w:tblGrid>
      <w:tr>
        <w:tc>
          <w:tcPr>
            <w:tcW w:type="dxa" w:w="5616"/>
            <w:shd w:val="clear" w:color="auto" w:fill="3B4249"/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FFFFFF"/>
                <w:sz w:val="19"/>
              </w:rPr>
              <w:t>Action</w:t>
            </w:r>
          </w:p>
        </w:tc>
        <w:tc>
          <w:tcPr>
            <w:tcW w:type="dxa" w:w="1296"/>
            <w:shd w:val="clear" w:color="auto" w:fill="3B4249"/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FFFFFF"/>
                <w:sz w:val="19"/>
              </w:rPr>
              <w:t>Type</w:t>
            </w:r>
          </w:p>
        </w:tc>
        <w:tc>
          <w:tcPr>
            <w:tcW w:type="dxa" w:w="1800"/>
            <w:shd w:val="clear" w:color="auto" w:fill="3B4249"/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1224"/>
            <w:shd w:val="clear" w:color="auto" w:fill="3B4249"/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5616"/>
            <w:tcBorders>
              <w:bottom w:val="single" w:sz="4" w:color="D5D8DB" w:space="0"/>
            </w:tcBorders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Keep data validation scripts as a standard cutover step</w:t>
            </w:r>
          </w:p>
        </w:tc>
        <w:tc>
          <w:tcPr>
            <w:tcW w:type="dxa" w:w="1296"/>
            <w:tcBorders>
              <w:bottom w:val="single" w:sz="4" w:color="D5D8DB" w:space="0"/>
            </w:tcBorders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8A6D1E"/>
                <w:sz w:val="20"/>
              </w:rPr>
              <w:t>Sustain</w:t>
            </w:r>
          </w:p>
        </w:tc>
        <w:tc>
          <w:tcPr>
            <w:tcW w:type="dxa" w:w="1800"/>
            <w:tcBorders>
              <w:bottom w:val="single" w:sz="4" w:color="D5D8DB" w:space="0"/>
            </w:tcBorders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R. Okafor</w:t>
            </w:r>
          </w:p>
        </w:tc>
        <w:tc>
          <w:tcPr>
            <w:tcW w:type="dxa" w:w="1224"/>
            <w:tcBorders>
              <w:bottom w:val="single" w:sz="4" w:color="D5D8DB" w:space="0"/>
            </w:tcBorders>
            <w:shd w:val="clear" w:color="auto" w:fill="F3EEDF"/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Done</w:t>
            </w:r>
          </w:p>
        </w:tc>
      </w:tr>
      <w:tr>
        <w:tc>
          <w:tcPr>
            <w:tcW w:type="dxa" w:w="561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Add every printer and scanner model to the test lab</w:t>
            </w:r>
          </w:p>
        </w:tc>
        <w:tc>
          <w:tcPr>
            <w:tcW w:type="dxa" w:w="129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22272B"/>
                <w:sz w:val="20"/>
              </w:rPr>
              <w:t>Improve</w:t>
            </w:r>
          </w:p>
        </w:tc>
        <w:tc>
          <w:tcPr>
            <w:tcW w:type="dxa" w:w="1800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S. Patel</w:t>
            </w:r>
          </w:p>
        </w:tc>
        <w:tc>
          <w:tcPr>
            <w:tcW w:type="dxa" w:w="1224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31 Oct</w:t>
            </w:r>
          </w:p>
        </w:tc>
      </w:tr>
      <w:tr>
        <w:tc>
          <w:tcPr>
            <w:tcW w:type="dxa" w:w="561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Go/no-go gates Sat 22:00 and Sun 10:00 in the runbook</w:t>
            </w:r>
          </w:p>
        </w:tc>
        <w:tc>
          <w:tcPr>
            <w:tcW w:type="dxa" w:w="129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22272B"/>
                <w:sz w:val="20"/>
              </w:rPr>
              <w:t>Improve</w:t>
            </w:r>
          </w:p>
        </w:tc>
        <w:tc>
          <w:tcPr>
            <w:tcW w:type="dxa" w:w="1800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D. Whitcomb</w:t>
            </w:r>
          </w:p>
        </w:tc>
        <w:tc>
          <w:tcPr>
            <w:tcW w:type="dxa" w:w="1224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16 Oct</w:t>
            </w:r>
          </w:p>
        </w:tc>
      </w:tr>
      <w:tr>
        <w:tc>
          <w:tcPr>
            <w:tcW w:type="dxa" w:w="561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Rollback rule: trigger, decision owner, deadline</w:t>
            </w:r>
          </w:p>
        </w:tc>
        <w:tc>
          <w:tcPr>
            <w:tcW w:type="dxa" w:w="129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22272B"/>
                <w:sz w:val="20"/>
              </w:rPr>
              <w:t>Improve</w:t>
            </w:r>
          </w:p>
        </w:tc>
        <w:tc>
          <w:tcPr>
            <w:tcW w:type="dxa" w:w="1800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D. Whitcomb</w:t>
            </w:r>
          </w:p>
        </w:tc>
        <w:tc>
          <w:tcPr>
            <w:tcW w:type="dxa" w:w="1224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23 Oct</w:t>
            </w:r>
          </w:p>
        </w:tc>
      </w:tr>
      <w:tr>
        <w:tc>
          <w:tcPr>
            <w:tcW w:type="dxa" w:w="561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Floor training within 7 days of go-live</w:t>
            </w:r>
          </w:p>
        </w:tc>
        <w:tc>
          <w:tcPr>
            <w:tcW w:type="dxa" w:w="1296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/>
                <w:i w:val="0"/>
                <w:color w:val="22272B"/>
                <w:sz w:val="20"/>
              </w:rPr>
              <w:t>Improve</w:t>
            </w:r>
          </w:p>
        </w:tc>
        <w:tc>
          <w:tcPr>
            <w:tcW w:type="dxa" w:w="1800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L. Moreno</w:t>
            </w:r>
          </w:p>
        </w:tc>
        <w:tc>
          <w:tcPr>
            <w:tcW w:type="dxa" w:w="1224"/>
            <w:tcBorders>
              <w:bottom w:val="single" w:sz="4" w:color="D5D8DB" w:space="0"/>
            </w:tcBorders>
          </w:tcPr>
          <w:p>
            <w:r>
              <w:rPr>
                <w:rFonts w:ascii="Arial Narrow" w:hAnsi="Arial Narrow" w:cs="Arial Narrow" w:eastAsia="Arial Narrow"/>
                <w:b w:val="0"/>
                <w:i w:val="0"/>
                <w:color w:val="22272B"/>
                <w:sz w:val="20"/>
              </w:rPr>
              <w:t>7 Nov</w:t>
            </w:r>
          </w:p>
        </w:tc>
      </w:tr>
    </w:tbl>
    <w:p>
      <w:pPr>
        <w:spacing w:after="120" w:before="0"/>
      </w:pPr>
    </w:p>
    <w:p>
      <w:pPr>
        <w:spacing w:after="0" w:before="0"/>
        <w:pBdr>
          <w:top w:val="single" w:sz="6" w:space="4" w:color="C2B280"/>
        </w:pBdr>
      </w:pPr>
      <w:r>
        <w:rPr>
          <w:rFonts w:ascii="Arial Narrow" w:hAnsi="Arial Narrow" w:cs="Arial Narrow" w:eastAsia="Arial Narrow"/>
          <w:b/>
          <w:i w:val="0"/>
          <w:color w:val="6E757C"/>
          <w:sz w:val="18"/>
        </w:rPr>
        <w:t xml:space="preserve">Ground rules used: </w:t>
      </w:r>
      <w:r>
        <w:rPr>
          <w:rFonts w:ascii="Arial Narrow" w:hAnsi="Arial Narrow" w:cs="Arial Narrow" w:eastAsia="Arial Narrow"/>
          <w:b w:val="0"/>
          <w:i/>
          <w:color w:val="6E757C"/>
          <w:sz w:val="18"/>
        </w:rPr>
        <w:t>no blame, rank left at the door, facts before opinions, every action gets one owner and a date. Full action log in the Excel tracker.</w:t>
      </w:r>
    </w:p>
    <w:sectPr w:rsidR="00FC693F" w:rsidRPr="0006063C" w:rsidSect="00034616">
      <w:pgSz w:w="12240" w:h="15840"/>
      <w:pgMar w:top="79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 Narrow" w:hAnsi="Arial Narrow" w:cs="Arial Narrow" w:eastAsia="Arial Narrow"/>
      <w:color w:val="2227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Action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